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40562" w14:textId="77777777" w:rsidR="004B6040" w:rsidRPr="00B66BAE" w:rsidRDefault="004B6040" w:rsidP="00983DC3">
      <w:pPr>
        <w:pStyle w:val="Heading2"/>
        <w:spacing w:before="0"/>
        <w:jc w:val="center"/>
        <w:rPr>
          <w:b/>
          <w:color w:val="auto"/>
          <w:sz w:val="32"/>
        </w:rPr>
      </w:pPr>
      <w:bookmarkStart w:id="0" w:name="_GoBack"/>
      <w:bookmarkEnd w:id="0"/>
      <w:r w:rsidRPr="00B66BAE">
        <w:rPr>
          <w:b/>
          <w:color w:val="auto"/>
          <w:sz w:val="32"/>
        </w:rPr>
        <w:t>How patterns of power, privilege, and inequity influence student learning and success at Clark</w:t>
      </w:r>
      <w:r w:rsidR="006570D8">
        <w:rPr>
          <w:b/>
          <w:color w:val="auto"/>
          <w:sz w:val="32"/>
        </w:rPr>
        <w:t xml:space="preserve"> College</w:t>
      </w:r>
    </w:p>
    <w:p w14:paraId="217F73FE" w14:textId="77777777" w:rsidR="006C3B3D" w:rsidRPr="006C3B3D" w:rsidRDefault="006C3B3D" w:rsidP="00983DC3">
      <w:pPr>
        <w:spacing w:after="0"/>
      </w:pPr>
    </w:p>
    <w:p w14:paraId="3191A6A0" w14:textId="0B55AD4A" w:rsidR="00635C46" w:rsidRPr="0059198B" w:rsidRDefault="00664869" w:rsidP="00983DC3">
      <w:pPr>
        <w:pStyle w:val="Heading2"/>
        <w:spacing w:before="0"/>
        <w:jc w:val="center"/>
        <w:rPr>
          <w:b/>
        </w:rPr>
      </w:pPr>
      <w:r w:rsidRPr="00E75ACB">
        <w:rPr>
          <w:b/>
        </w:rPr>
        <w:t>I.</w:t>
      </w:r>
      <w:r>
        <w:rPr>
          <w:b/>
        </w:rPr>
        <w:t xml:space="preserve"> </w:t>
      </w:r>
      <w:r w:rsidR="008F650D">
        <w:rPr>
          <w:b/>
        </w:rPr>
        <w:t>Our service district has the need and opportunity to increase educational attainment</w:t>
      </w:r>
    </w:p>
    <w:p w14:paraId="3BB20950" w14:textId="2CE9A271" w:rsidR="00334B14" w:rsidRDefault="00255152" w:rsidP="00031CBB">
      <w:pPr>
        <w:pStyle w:val="NormalWeb"/>
        <w:spacing w:before="0" w:beforeAutospacing="0" w:after="0" w:afterAutospacing="0"/>
        <w:rPr>
          <w:rFonts w:asciiTheme="minorHAnsi" w:hAnsiTheme="minorHAnsi" w:cstheme="minorBidi"/>
          <w:color w:val="000000" w:themeColor="text1"/>
          <w:kern w:val="24"/>
          <w:sz w:val="22"/>
          <w:szCs w:val="22"/>
        </w:rPr>
      </w:pPr>
      <w:r w:rsidRPr="006C3B3D">
        <w:rPr>
          <w:rFonts w:asciiTheme="minorHAnsi" w:hAnsiTheme="minorHAnsi" w:cstheme="minorBidi"/>
          <w:color w:val="000000" w:themeColor="text1"/>
          <w:kern w:val="24"/>
          <w:sz w:val="22"/>
          <w:szCs w:val="22"/>
        </w:rPr>
        <w:t>Our economic environment is changing, here at Clark College and nationally. Nationally, by 2020, 65% of all jobs will require postsecondary education and training</w:t>
      </w:r>
      <w:r w:rsidRPr="006C3B3D">
        <w:rPr>
          <w:rStyle w:val="FootnoteReference"/>
          <w:rFonts w:asciiTheme="minorHAnsi" w:hAnsiTheme="minorHAnsi" w:cstheme="minorBidi"/>
          <w:color w:val="000000" w:themeColor="text1"/>
          <w:kern w:val="24"/>
          <w:sz w:val="22"/>
          <w:szCs w:val="22"/>
        </w:rPr>
        <w:footnoteReference w:id="1"/>
      </w:r>
      <w:r w:rsidRPr="006C3B3D">
        <w:rPr>
          <w:rFonts w:asciiTheme="minorHAnsi" w:hAnsiTheme="minorHAnsi" w:cstheme="minorBidi"/>
          <w:color w:val="000000" w:themeColor="text1"/>
          <w:kern w:val="24"/>
          <w:sz w:val="22"/>
          <w:szCs w:val="22"/>
        </w:rPr>
        <w:t xml:space="preserve">. This is up from 28% in 1973. Within </w:t>
      </w:r>
      <w:r w:rsidR="00F60B97">
        <w:rPr>
          <w:rFonts w:asciiTheme="minorHAnsi" w:hAnsiTheme="minorHAnsi" w:cstheme="minorBidi"/>
          <w:color w:val="000000" w:themeColor="text1"/>
          <w:kern w:val="24"/>
          <w:sz w:val="22"/>
          <w:szCs w:val="22"/>
        </w:rPr>
        <w:t>Clark College’s</w:t>
      </w:r>
      <w:r w:rsidR="00F60B97" w:rsidRPr="006C3B3D">
        <w:rPr>
          <w:rFonts w:asciiTheme="minorHAnsi" w:hAnsiTheme="minorHAnsi" w:cstheme="minorBidi"/>
          <w:color w:val="000000" w:themeColor="text1"/>
          <w:kern w:val="24"/>
          <w:sz w:val="22"/>
          <w:szCs w:val="22"/>
        </w:rPr>
        <w:t xml:space="preserve"> </w:t>
      </w:r>
      <w:r w:rsidRPr="006C3B3D">
        <w:rPr>
          <w:rFonts w:asciiTheme="minorHAnsi" w:hAnsiTheme="minorHAnsi" w:cstheme="minorBidi"/>
          <w:color w:val="000000" w:themeColor="text1"/>
          <w:kern w:val="24"/>
          <w:sz w:val="22"/>
          <w:szCs w:val="22"/>
        </w:rPr>
        <w:t xml:space="preserve">service district (Clark, Skamania and Western Klickitat Counties), only one-third (26.9% - 36.3%) of adults 25 years or older have an associate’s degree or higher (see Table 1). </w:t>
      </w:r>
      <w:r w:rsidR="006C10C9" w:rsidRPr="006C3B3D">
        <w:rPr>
          <w:rFonts w:asciiTheme="minorHAnsi" w:hAnsiTheme="minorHAnsi" w:cstheme="minorBidi"/>
          <w:color w:val="000000" w:themeColor="text1"/>
          <w:kern w:val="24"/>
          <w:sz w:val="22"/>
          <w:szCs w:val="22"/>
        </w:rPr>
        <w:t xml:space="preserve">Therefore, to meet the demand of </w:t>
      </w:r>
      <w:r w:rsidR="00F60B97">
        <w:rPr>
          <w:rFonts w:asciiTheme="minorHAnsi" w:hAnsiTheme="minorHAnsi" w:cstheme="minorBidi"/>
          <w:color w:val="000000" w:themeColor="text1"/>
          <w:kern w:val="24"/>
          <w:sz w:val="22"/>
          <w:szCs w:val="22"/>
        </w:rPr>
        <w:t>the college’s</w:t>
      </w:r>
      <w:r w:rsidR="00F60B97" w:rsidRPr="006C3B3D">
        <w:rPr>
          <w:rFonts w:asciiTheme="minorHAnsi" w:hAnsiTheme="minorHAnsi" w:cstheme="minorBidi"/>
          <w:color w:val="000000" w:themeColor="text1"/>
          <w:kern w:val="24"/>
          <w:sz w:val="22"/>
          <w:szCs w:val="22"/>
        </w:rPr>
        <w:t xml:space="preserve"> </w:t>
      </w:r>
      <w:r w:rsidR="006C10C9" w:rsidRPr="006C3B3D">
        <w:rPr>
          <w:rFonts w:asciiTheme="minorHAnsi" w:hAnsiTheme="minorHAnsi" w:cstheme="minorBidi"/>
          <w:color w:val="000000" w:themeColor="text1"/>
          <w:kern w:val="24"/>
          <w:sz w:val="22"/>
          <w:szCs w:val="22"/>
        </w:rPr>
        <w:t xml:space="preserve">community and industry partners, there is a need to increase educational attainment in </w:t>
      </w:r>
      <w:r w:rsidR="00F60B97">
        <w:rPr>
          <w:rFonts w:asciiTheme="minorHAnsi" w:hAnsiTheme="minorHAnsi" w:cstheme="minorBidi"/>
          <w:color w:val="000000" w:themeColor="text1"/>
          <w:kern w:val="24"/>
          <w:sz w:val="22"/>
          <w:szCs w:val="22"/>
        </w:rPr>
        <w:t xml:space="preserve">the </w:t>
      </w:r>
      <w:r w:rsidR="006C10C9" w:rsidRPr="006C3B3D">
        <w:rPr>
          <w:rFonts w:asciiTheme="minorHAnsi" w:hAnsiTheme="minorHAnsi" w:cstheme="minorBidi"/>
          <w:color w:val="000000" w:themeColor="text1"/>
          <w:kern w:val="24"/>
          <w:sz w:val="22"/>
          <w:szCs w:val="22"/>
        </w:rPr>
        <w:t>service district.</w:t>
      </w:r>
    </w:p>
    <w:p w14:paraId="381C1CF4" w14:textId="77777777" w:rsidR="0001172B" w:rsidRPr="006C3B3D" w:rsidRDefault="0001172B" w:rsidP="00031CBB">
      <w:pPr>
        <w:pStyle w:val="NormalWeb"/>
        <w:spacing w:before="0" w:beforeAutospacing="0" w:after="0" w:afterAutospacing="0"/>
        <w:rPr>
          <w:rFonts w:asciiTheme="minorHAnsi" w:hAnsiTheme="minorHAnsi" w:cstheme="minorBidi"/>
          <w:color w:val="000000" w:themeColor="text1"/>
          <w:kern w:val="24"/>
          <w:sz w:val="22"/>
          <w:szCs w:val="22"/>
        </w:rPr>
      </w:pPr>
    </w:p>
    <w:p w14:paraId="298F7CC8" w14:textId="77777777" w:rsidR="00F569B9" w:rsidRPr="00635C46" w:rsidRDefault="00255152" w:rsidP="00031CBB">
      <w:pPr>
        <w:pStyle w:val="NormalWeb"/>
        <w:spacing w:before="0" w:beforeAutospacing="0" w:after="0" w:afterAutospacing="0"/>
        <w:rPr>
          <w:rFonts w:asciiTheme="minorHAnsi" w:hAnsiTheme="minorHAnsi" w:cstheme="minorBidi"/>
          <w:b/>
          <w:color w:val="000000" w:themeColor="text1"/>
          <w:kern w:val="24"/>
          <w:sz w:val="22"/>
          <w:szCs w:val="22"/>
        </w:rPr>
      </w:pPr>
      <w:r w:rsidRPr="00635C46">
        <w:rPr>
          <w:rFonts w:asciiTheme="minorHAnsi" w:hAnsiTheme="minorHAnsi" w:cstheme="minorBidi"/>
          <w:b/>
          <w:color w:val="000000" w:themeColor="text1"/>
          <w:kern w:val="24"/>
          <w:sz w:val="22"/>
          <w:szCs w:val="22"/>
        </w:rPr>
        <w:t xml:space="preserve">Table 1. </w:t>
      </w:r>
      <w:r w:rsidR="00F61935" w:rsidRPr="00635C46">
        <w:rPr>
          <w:rFonts w:asciiTheme="minorHAnsi" w:hAnsiTheme="minorHAnsi" w:cstheme="minorBidi"/>
          <w:b/>
          <w:color w:val="000000" w:themeColor="text1"/>
          <w:kern w:val="24"/>
          <w:sz w:val="22"/>
          <w:szCs w:val="22"/>
        </w:rPr>
        <w:t>Educational Attainment in Service District (for adults age 25 years or older)</w:t>
      </w:r>
    </w:p>
    <w:tbl>
      <w:tblPr>
        <w:tblW w:w="9630" w:type="dxa"/>
        <w:tblInd w:w="-10" w:type="dxa"/>
        <w:tblCellMar>
          <w:left w:w="0" w:type="dxa"/>
          <w:right w:w="0" w:type="dxa"/>
        </w:tblCellMar>
        <w:tblLook w:val="0420" w:firstRow="1" w:lastRow="0" w:firstColumn="0" w:lastColumn="0" w:noHBand="0" w:noVBand="1"/>
      </w:tblPr>
      <w:tblGrid>
        <w:gridCol w:w="3915"/>
        <w:gridCol w:w="1395"/>
        <w:gridCol w:w="1350"/>
        <w:gridCol w:w="1530"/>
        <w:gridCol w:w="1440"/>
      </w:tblGrid>
      <w:tr w:rsidR="006C10C9" w:rsidRPr="00635C46" w14:paraId="2ABBDC5B" w14:textId="77777777" w:rsidTr="006C10C9">
        <w:trPr>
          <w:trHeight w:val="579"/>
        </w:trPr>
        <w:tc>
          <w:tcPr>
            <w:tcW w:w="391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0B2CAB8" w14:textId="77777777" w:rsidR="00255152" w:rsidRPr="00255152" w:rsidRDefault="00255152" w:rsidP="00031CBB">
            <w:pPr>
              <w:spacing w:after="0" w:line="240" w:lineRule="auto"/>
              <w:rPr>
                <w:rFonts w:eastAsia="Times New Roman" w:cs="Times New Roman"/>
              </w:rPr>
            </w:pPr>
          </w:p>
        </w:tc>
        <w:tc>
          <w:tcPr>
            <w:tcW w:w="139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6617A1F3" w14:textId="77777777" w:rsidR="00255152" w:rsidRPr="00255152" w:rsidRDefault="00255152" w:rsidP="00031CBB">
            <w:pPr>
              <w:spacing w:after="0" w:line="240" w:lineRule="auto"/>
              <w:jc w:val="center"/>
              <w:rPr>
                <w:rFonts w:eastAsia="Times New Roman" w:cs="Arial"/>
              </w:rPr>
            </w:pPr>
            <w:r w:rsidRPr="00255152">
              <w:rPr>
                <w:rFonts w:eastAsia="Times New Roman" w:cs="Arial"/>
                <w:b/>
                <w:bCs/>
                <w:color w:val="FFFFFF"/>
                <w:kern w:val="24"/>
              </w:rPr>
              <w:t xml:space="preserve">Clark </w:t>
            </w:r>
          </w:p>
          <w:p w14:paraId="33ACCE75" w14:textId="77777777" w:rsidR="00255152" w:rsidRPr="00255152" w:rsidRDefault="00255152" w:rsidP="00031CBB">
            <w:pPr>
              <w:spacing w:after="0" w:line="240" w:lineRule="auto"/>
              <w:jc w:val="center"/>
              <w:rPr>
                <w:rFonts w:eastAsia="Times New Roman" w:cs="Arial"/>
              </w:rPr>
            </w:pPr>
            <w:r w:rsidRPr="00255152">
              <w:rPr>
                <w:rFonts w:eastAsia="Times New Roman" w:cs="Arial"/>
                <w:b/>
                <w:bCs/>
                <w:color w:val="FFFFFF"/>
                <w:kern w:val="24"/>
              </w:rPr>
              <w:t>County</w:t>
            </w:r>
          </w:p>
        </w:tc>
        <w:tc>
          <w:tcPr>
            <w:tcW w:w="135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07792205" w14:textId="77777777" w:rsidR="00255152" w:rsidRPr="00255152" w:rsidRDefault="00255152" w:rsidP="00031CBB">
            <w:pPr>
              <w:spacing w:after="0" w:line="240" w:lineRule="auto"/>
              <w:jc w:val="center"/>
              <w:rPr>
                <w:rFonts w:eastAsia="Times New Roman" w:cs="Arial"/>
              </w:rPr>
            </w:pPr>
            <w:r w:rsidRPr="00255152">
              <w:rPr>
                <w:rFonts w:eastAsia="Times New Roman" w:cs="Arial"/>
                <w:b/>
                <w:bCs/>
                <w:color w:val="FFFFFF"/>
                <w:kern w:val="24"/>
              </w:rPr>
              <w:t>Skamania County</w:t>
            </w:r>
          </w:p>
        </w:tc>
        <w:tc>
          <w:tcPr>
            <w:tcW w:w="153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4D1AC02E" w14:textId="77777777" w:rsidR="00255152" w:rsidRPr="00255152" w:rsidRDefault="00255152" w:rsidP="00031CBB">
            <w:pPr>
              <w:spacing w:after="0" w:line="240" w:lineRule="auto"/>
              <w:jc w:val="center"/>
              <w:rPr>
                <w:rFonts w:eastAsia="Times New Roman" w:cs="Arial"/>
              </w:rPr>
            </w:pPr>
            <w:r w:rsidRPr="00255152">
              <w:rPr>
                <w:rFonts w:eastAsia="Times New Roman" w:cs="Arial"/>
                <w:b/>
                <w:bCs/>
                <w:color w:val="FFFFFF"/>
                <w:kern w:val="24"/>
              </w:rPr>
              <w:t xml:space="preserve">Klickitat </w:t>
            </w:r>
          </w:p>
          <w:p w14:paraId="164B7E8E" w14:textId="77777777" w:rsidR="00255152" w:rsidRPr="00255152" w:rsidRDefault="00255152" w:rsidP="00031CBB">
            <w:pPr>
              <w:spacing w:after="0" w:line="240" w:lineRule="auto"/>
              <w:jc w:val="center"/>
              <w:rPr>
                <w:rFonts w:eastAsia="Times New Roman" w:cs="Arial"/>
              </w:rPr>
            </w:pPr>
            <w:r w:rsidRPr="00255152">
              <w:rPr>
                <w:rFonts w:eastAsia="Times New Roman" w:cs="Arial"/>
                <w:b/>
                <w:bCs/>
                <w:color w:val="FFFFFF"/>
                <w:kern w:val="24"/>
                <w:sz w:val="18"/>
              </w:rPr>
              <w:t>(</w:t>
            </w:r>
            <w:r w:rsidR="006C10C9" w:rsidRPr="00635C46">
              <w:rPr>
                <w:rFonts w:eastAsia="Times New Roman" w:cs="Arial"/>
                <w:b/>
                <w:bCs/>
                <w:color w:val="FFFFFF"/>
                <w:kern w:val="24"/>
                <w:sz w:val="18"/>
              </w:rPr>
              <w:t>Western Klickitat in</w:t>
            </w:r>
            <w:r w:rsidRPr="00255152">
              <w:rPr>
                <w:rFonts w:eastAsia="Times New Roman" w:cs="Arial"/>
                <w:b/>
                <w:bCs/>
                <w:color w:val="FFFFFF"/>
                <w:kern w:val="24"/>
                <w:sz w:val="18"/>
              </w:rPr>
              <w:t xml:space="preserve"> service district)</w:t>
            </w:r>
          </w:p>
        </w:tc>
        <w:tc>
          <w:tcPr>
            <w:tcW w:w="14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6942B8E4" w14:textId="77777777" w:rsidR="00255152" w:rsidRPr="00255152" w:rsidRDefault="00255152" w:rsidP="00031CBB">
            <w:pPr>
              <w:spacing w:after="0" w:line="240" w:lineRule="auto"/>
              <w:jc w:val="center"/>
              <w:rPr>
                <w:rFonts w:eastAsia="Times New Roman" w:cs="Arial"/>
              </w:rPr>
            </w:pPr>
            <w:r w:rsidRPr="00255152">
              <w:rPr>
                <w:rFonts w:eastAsia="Times New Roman" w:cs="Arial"/>
                <w:b/>
                <w:bCs/>
                <w:color w:val="FFFFFF"/>
                <w:kern w:val="24"/>
              </w:rPr>
              <w:t xml:space="preserve">Washington </w:t>
            </w:r>
          </w:p>
          <w:p w14:paraId="3FBC0295" w14:textId="77777777" w:rsidR="00255152" w:rsidRPr="00255152" w:rsidRDefault="00255152" w:rsidP="00031CBB">
            <w:pPr>
              <w:spacing w:after="0" w:line="240" w:lineRule="auto"/>
              <w:jc w:val="center"/>
              <w:rPr>
                <w:rFonts w:eastAsia="Times New Roman" w:cs="Arial"/>
              </w:rPr>
            </w:pPr>
            <w:r w:rsidRPr="00255152">
              <w:rPr>
                <w:rFonts w:eastAsia="Times New Roman" w:cs="Arial"/>
                <w:b/>
                <w:bCs/>
                <w:color w:val="FFFFFF"/>
                <w:kern w:val="24"/>
              </w:rPr>
              <w:t>State</w:t>
            </w:r>
          </w:p>
        </w:tc>
      </w:tr>
      <w:tr w:rsidR="006C10C9" w:rsidRPr="00635C46" w14:paraId="22EDD787" w14:textId="77777777" w:rsidTr="006C10C9">
        <w:trPr>
          <w:trHeight w:val="246"/>
        </w:trPr>
        <w:tc>
          <w:tcPr>
            <w:tcW w:w="391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04015AD1" w14:textId="77777777" w:rsidR="00255152" w:rsidRPr="00255152" w:rsidRDefault="00255152" w:rsidP="00031CBB">
            <w:pPr>
              <w:spacing w:after="0" w:line="240" w:lineRule="auto"/>
              <w:rPr>
                <w:rFonts w:eastAsia="Times New Roman" w:cs="Arial"/>
              </w:rPr>
            </w:pPr>
            <w:r w:rsidRPr="00255152">
              <w:rPr>
                <w:rFonts w:eastAsia="Times New Roman" w:cs="Arial"/>
                <w:b/>
                <w:bCs/>
                <w:color w:val="000000"/>
                <w:kern w:val="24"/>
              </w:rPr>
              <w:t>Percent high school graduate or higher</w:t>
            </w:r>
          </w:p>
        </w:tc>
        <w:tc>
          <w:tcPr>
            <w:tcW w:w="139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4305A98A" w14:textId="77777777" w:rsidR="00255152" w:rsidRPr="00255152" w:rsidRDefault="00255152" w:rsidP="00031CBB">
            <w:pPr>
              <w:spacing w:after="0" w:line="240" w:lineRule="auto"/>
              <w:jc w:val="center"/>
              <w:rPr>
                <w:rFonts w:eastAsia="Times New Roman" w:cs="Arial"/>
              </w:rPr>
            </w:pPr>
            <w:r w:rsidRPr="00255152">
              <w:rPr>
                <w:rFonts w:eastAsia="Times New Roman" w:cs="Arial"/>
                <w:color w:val="000000"/>
                <w:kern w:val="24"/>
              </w:rPr>
              <w:t>91.0%</w:t>
            </w:r>
          </w:p>
        </w:tc>
        <w:tc>
          <w:tcPr>
            <w:tcW w:w="135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4B45F404" w14:textId="77777777" w:rsidR="00255152" w:rsidRPr="00255152" w:rsidRDefault="00255152" w:rsidP="00031CBB">
            <w:pPr>
              <w:spacing w:after="0" w:line="240" w:lineRule="auto"/>
              <w:jc w:val="center"/>
              <w:rPr>
                <w:rFonts w:eastAsia="Times New Roman" w:cs="Arial"/>
              </w:rPr>
            </w:pPr>
            <w:r w:rsidRPr="00255152">
              <w:rPr>
                <w:rFonts w:eastAsia="Times New Roman" w:cs="Arial"/>
                <w:color w:val="000000"/>
                <w:kern w:val="24"/>
              </w:rPr>
              <w:t>90.5%</w:t>
            </w:r>
          </w:p>
        </w:tc>
        <w:tc>
          <w:tcPr>
            <w:tcW w:w="153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55AF11F9" w14:textId="77777777" w:rsidR="00255152" w:rsidRPr="00255152" w:rsidRDefault="00255152" w:rsidP="00031CBB">
            <w:pPr>
              <w:spacing w:after="0" w:line="240" w:lineRule="auto"/>
              <w:jc w:val="center"/>
              <w:rPr>
                <w:rFonts w:eastAsia="Times New Roman" w:cs="Arial"/>
              </w:rPr>
            </w:pPr>
            <w:r w:rsidRPr="00255152">
              <w:rPr>
                <w:rFonts w:eastAsia="Times New Roman" w:cs="Arial"/>
                <w:color w:val="000000"/>
                <w:kern w:val="24"/>
              </w:rPr>
              <w:t>87.6%</w:t>
            </w:r>
          </w:p>
        </w:tc>
        <w:tc>
          <w:tcPr>
            <w:tcW w:w="14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3851531A" w14:textId="77777777" w:rsidR="00255152" w:rsidRPr="00255152" w:rsidRDefault="00255152" w:rsidP="00031CBB">
            <w:pPr>
              <w:spacing w:after="0" w:line="240" w:lineRule="auto"/>
              <w:jc w:val="center"/>
              <w:rPr>
                <w:rFonts w:eastAsia="Times New Roman" w:cs="Arial"/>
              </w:rPr>
            </w:pPr>
            <w:r w:rsidRPr="00255152">
              <w:rPr>
                <w:rFonts w:eastAsia="Times New Roman" w:cs="Arial"/>
                <w:color w:val="000000"/>
                <w:kern w:val="24"/>
              </w:rPr>
              <w:t>90.0%</w:t>
            </w:r>
          </w:p>
        </w:tc>
      </w:tr>
      <w:tr w:rsidR="006C10C9" w:rsidRPr="00635C46" w14:paraId="791EF6F1" w14:textId="77777777" w:rsidTr="006C10C9">
        <w:trPr>
          <w:trHeight w:val="268"/>
        </w:trPr>
        <w:tc>
          <w:tcPr>
            <w:tcW w:w="391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197209AC" w14:textId="77777777" w:rsidR="00255152" w:rsidRPr="00255152" w:rsidRDefault="00255152" w:rsidP="00031CBB">
            <w:pPr>
              <w:spacing w:after="0" w:line="240" w:lineRule="auto"/>
              <w:rPr>
                <w:rFonts w:eastAsia="Times New Roman" w:cs="Arial"/>
              </w:rPr>
            </w:pPr>
            <w:r w:rsidRPr="00255152">
              <w:rPr>
                <w:rFonts w:eastAsia="Times New Roman" w:cs="Arial"/>
                <w:b/>
                <w:bCs/>
                <w:color w:val="000000"/>
                <w:kern w:val="24"/>
              </w:rPr>
              <w:t>Percent associate’s degree or higher</w:t>
            </w:r>
          </w:p>
        </w:tc>
        <w:tc>
          <w:tcPr>
            <w:tcW w:w="139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46E9C4BB" w14:textId="77777777" w:rsidR="00255152" w:rsidRPr="00255152" w:rsidRDefault="00255152" w:rsidP="00031CBB">
            <w:pPr>
              <w:spacing w:after="0" w:line="240" w:lineRule="auto"/>
              <w:jc w:val="center"/>
              <w:rPr>
                <w:rFonts w:eastAsia="Times New Roman" w:cs="Arial"/>
              </w:rPr>
            </w:pPr>
            <w:r w:rsidRPr="00255152">
              <w:rPr>
                <w:rFonts w:eastAsia="Times New Roman" w:cs="Arial"/>
                <w:color w:val="000000"/>
                <w:kern w:val="24"/>
              </w:rPr>
              <w:t>36.3%</w:t>
            </w:r>
          </w:p>
        </w:tc>
        <w:tc>
          <w:tcPr>
            <w:tcW w:w="135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112D0B16" w14:textId="77777777" w:rsidR="00255152" w:rsidRPr="00255152" w:rsidRDefault="00255152" w:rsidP="00031CBB">
            <w:pPr>
              <w:spacing w:after="0" w:line="240" w:lineRule="auto"/>
              <w:jc w:val="center"/>
              <w:rPr>
                <w:rFonts w:eastAsia="Times New Roman" w:cs="Arial"/>
              </w:rPr>
            </w:pPr>
            <w:r w:rsidRPr="00255152">
              <w:rPr>
                <w:rFonts w:eastAsia="Times New Roman" w:cs="Arial"/>
                <w:color w:val="000000"/>
                <w:kern w:val="24"/>
              </w:rPr>
              <w:t>29.9%</w:t>
            </w:r>
          </w:p>
        </w:tc>
        <w:tc>
          <w:tcPr>
            <w:tcW w:w="15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080EF39B" w14:textId="77777777" w:rsidR="00255152" w:rsidRPr="00255152" w:rsidRDefault="00255152" w:rsidP="00031CBB">
            <w:pPr>
              <w:spacing w:after="0" w:line="240" w:lineRule="auto"/>
              <w:jc w:val="center"/>
              <w:rPr>
                <w:rFonts w:eastAsia="Times New Roman" w:cs="Arial"/>
              </w:rPr>
            </w:pPr>
            <w:r w:rsidRPr="00255152">
              <w:rPr>
                <w:rFonts w:eastAsia="Times New Roman" w:cs="Arial"/>
                <w:color w:val="000000"/>
                <w:kern w:val="24"/>
              </w:rPr>
              <w:t>26.9%</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40A44605" w14:textId="77777777" w:rsidR="00255152" w:rsidRPr="00255152" w:rsidRDefault="00255152" w:rsidP="00031CBB">
            <w:pPr>
              <w:spacing w:after="0" w:line="240" w:lineRule="auto"/>
              <w:jc w:val="center"/>
              <w:rPr>
                <w:rFonts w:eastAsia="Times New Roman" w:cs="Arial"/>
              </w:rPr>
            </w:pPr>
            <w:r w:rsidRPr="00255152">
              <w:rPr>
                <w:rFonts w:eastAsia="Times New Roman" w:cs="Arial"/>
                <w:color w:val="000000"/>
                <w:kern w:val="24"/>
              </w:rPr>
              <w:t>41.1%</w:t>
            </w:r>
          </w:p>
        </w:tc>
      </w:tr>
      <w:tr w:rsidR="006C10C9" w:rsidRPr="00635C46" w14:paraId="5FE8BC93" w14:textId="77777777" w:rsidTr="006C10C9">
        <w:trPr>
          <w:trHeight w:val="286"/>
        </w:trPr>
        <w:tc>
          <w:tcPr>
            <w:tcW w:w="391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33F4868B" w14:textId="77777777" w:rsidR="00255152" w:rsidRPr="00255152" w:rsidRDefault="00255152" w:rsidP="00031CBB">
            <w:pPr>
              <w:spacing w:after="0" w:line="240" w:lineRule="auto"/>
              <w:rPr>
                <w:rFonts w:eastAsia="Times New Roman" w:cs="Arial"/>
              </w:rPr>
            </w:pPr>
            <w:r w:rsidRPr="00255152">
              <w:rPr>
                <w:rFonts w:eastAsia="Times New Roman" w:cs="Arial"/>
                <w:b/>
                <w:bCs/>
                <w:color w:val="000000"/>
                <w:kern w:val="24"/>
              </w:rPr>
              <w:t>Percent bachelor’s degree or higher</w:t>
            </w:r>
          </w:p>
        </w:tc>
        <w:tc>
          <w:tcPr>
            <w:tcW w:w="139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46DA5A3D" w14:textId="77777777" w:rsidR="00255152" w:rsidRPr="00255152" w:rsidRDefault="00255152" w:rsidP="00031CBB">
            <w:pPr>
              <w:spacing w:after="0" w:line="240" w:lineRule="auto"/>
              <w:jc w:val="center"/>
              <w:rPr>
                <w:rFonts w:eastAsia="Times New Roman" w:cs="Arial"/>
              </w:rPr>
            </w:pPr>
            <w:r w:rsidRPr="00255152">
              <w:rPr>
                <w:rFonts w:eastAsia="Times New Roman" w:cs="Arial"/>
                <w:color w:val="000000"/>
                <w:kern w:val="24"/>
              </w:rPr>
              <w:t>26.0%</w:t>
            </w:r>
          </w:p>
        </w:tc>
        <w:tc>
          <w:tcPr>
            <w:tcW w:w="13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41C4A489" w14:textId="77777777" w:rsidR="00255152" w:rsidRPr="00255152" w:rsidRDefault="00255152" w:rsidP="00031CBB">
            <w:pPr>
              <w:spacing w:after="0" w:line="240" w:lineRule="auto"/>
              <w:jc w:val="center"/>
              <w:rPr>
                <w:rFonts w:eastAsia="Times New Roman" w:cs="Arial"/>
              </w:rPr>
            </w:pPr>
            <w:r w:rsidRPr="00255152">
              <w:rPr>
                <w:rFonts w:eastAsia="Times New Roman" w:cs="Arial"/>
                <w:color w:val="000000"/>
                <w:kern w:val="24"/>
              </w:rPr>
              <w:t>22.5%</w:t>
            </w:r>
          </w:p>
        </w:tc>
        <w:tc>
          <w:tcPr>
            <w:tcW w:w="15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2FE8F576" w14:textId="77777777" w:rsidR="00255152" w:rsidRPr="00255152" w:rsidRDefault="00255152" w:rsidP="00031CBB">
            <w:pPr>
              <w:spacing w:after="0" w:line="240" w:lineRule="auto"/>
              <w:jc w:val="center"/>
              <w:rPr>
                <w:rFonts w:eastAsia="Times New Roman" w:cs="Arial"/>
              </w:rPr>
            </w:pPr>
            <w:r w:rsidRPr="00255152">
              <w:rPr>
                <w:rFonts w:eastAsia="Times New Roman" w:cs="Arial"/>
                <w:color w:val="000000"/>
                <w:kern w:val="24"/>
              </w:rPr>
              <w:t>18.9%</w:t>
            </w:r>
          </w:p>
        </w:tc>
        <w:tc>
          <w:tcPr>
            <w:tcW w:w="14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171D739B" w14:textId="77777777" w:rsidR="00255152" w:rsidRPr="00255152" w:rsidRDefault="00255152" w:rsidP="00031CBB">
            <w:pPr>
              <w:spacing w:after="0" w:line="240" w:lineRule="auto"/>
              <w:jc w:val="center"/>
              <w:rPr>
                <w:rFonts w:eastAsia="Times New Roman" w:cs="Arial"/>
              </w:rPr>
            </w:pPr>
            <w:r w:rsidRPr="00255152">
              <w:rPr>
                <w:rFonts w:eastAsia="Times New Roman" w:cs="Arial"/>
                <w:color w:val="000000"/>
                <w:kern w:val="24"/>
              </w:rPr>
              <w:t>31.6%</w:t>
            </w:r>
          </w:p>
        </w:tc>
      </w:tr>
    </w:tbl>
    <w:p w14:paraId="7E97473D" w14:textId="77777777" w:rsidR="00255152" w:rsidRDefault="00255152" w:rsidP="00031CBB">
      <w:pPr>
        <w:pStyle w:val="NormalWeb"/>
        <w:spacing w:before="0" w:beforeAutospacing="0" w:after="0" w:afterAutospacing="0"/>
        <w:rPr>
          <w:rFonts w:asciiTheme="minorHAnsi" w:hAnsiTheme="minorHAnsi" w:cstheme="minorBidi"/>
          <w:b/>
          <w:color w:val="000000" w:themeColor="text1"/>
          <w:kern w:val="24"/>
          <w:sz w:val="22"/>
          <w:szCs w:val="22"/>
        </w:rPr>
      </w:pPr>
    </w:p>
    <w:p w14:paraId="0C94E853" w14:textId="77777777" w:rsidR="00983DC3" w:rsidRDefault="00983DC3" w:rsidP="00031CBB">
      <w:pPr>
        <w:pStyle w:val="NormalWeb"/>
        <w:spacing w:before="0" w:beforeAutospacing="0" w:after="0" w:afterAutospacing="0"/>
        <w:rPr>
          <w:rFonts w:asciiTheme="minorHAnsi" w:hAnsiTheme="minorHAnsi" w:cstheme="minorBidi"/>
          <w:b/>
          <w:color w:val="000000" w:themeColor="text1"/>
          <w:kern w:val="24"/>
          <w:sz w:val="22"/>
          <w:szCs w:val="22"/>
        </w:rPr>
      </w:pPr>
    </w:p>
    <w:p w14:paraId="47A160B0" w14:textId="70E59A84" w:rsidR="00B66BAE" w:rsidRPr="00B66BAE" w:rsidRDefault="00664869" w:rsidP="00B66BAE">
      <w:pPr>
        <w:pStyle w:val="NormalWeb"/>
        <w:spacing w:before="0" w:beforeAutospacing="0" w:after="0" w:afterAutospacing="0"/>
        <w:jc w:val="center"/>
        <w:rPr>
          <w:b/>
        </w:rPr>
      </w:pPr>
      <w:r w:rsidRPr="00B66BAE">
        <w:rPr>
          <w:rStyle w:val="Heading2Char"/>
          <w:b/>
        </w:rPr>
        <w:t xml:space="preserve">II. </w:t>
      </w:r>
      <w:r w:rsidR="008F650D" w:rsidRPr="00B66BAE">
        <w:rPr>
          <w:rStyle w:val="Heading2Char"/>
          <w:b/>
        </w:rPr>
        <w:t>Clark has increasing populations of students from historical</w:t>
      </w:r>
      <w:r w:rsidR="00C34C4B" w:rsidRPr="00B66BAE">
        <w:rPr>
          <w:rStyle w:val="Heading2Char"/>
          <w:b/>
        </w:rPr>
        <w:t>ly</w:t>
      </w:r>
      <w:r w:rsidR="008F650D" w:rsidRPr="00B66BAE">
        <w:rPr>
          <w:rStyle w:val="Heading2Char"/>
          <w:b/>
        </w:rPr>
        <w:t xml:space="preserve"> disadvantaged groups</w:t>
      </w:r>
    </w:p>
    <w:p w14:paraId="1507240B" w14:textId="77777777" w:rsidR="00B66BAE" w:rsidRDefault="00B66BAE" w:rsidP="00B66BAE">
      <w:pPr>
        <w:pStyle w:val="NormalWeb"/>
        <w:spacing w:before="0" w:beforeAutospacing="0" w:after="0" w:afterAutospacing="0"/>
        <w:rPr>
          <w:rFonts w:ascii="Calibri" w:hAnsi="Calibri"/>
          <w:sz w:val="22"/>
          <w:szCs w:val="22"/>
        </w:rPr>
      </w:pPr>
    </w:p>
    <w:p w14:paraId="4DFE873F" w14:textId="09AF6054" w:rsidR="00334B14" w:rsidRDefault="00D07447" w:rsidP="00B66BAE">
      <w:pPr>
        <w:pStyle w:val="NormalWeb"/>
        <w:spacing w:before="0" w:beforeAutospacing="0" w:after="0" w:afterAutospacing="0"/>
        <w:rPr>
          <w:rFonts w:asciiTheme="minorHAnsi" w:hAnsiTheme="minorHAnsi" w:cstheme="minorBidi"/>
          <w:color w:val="000000" w:themeColor="text1"/>
          <w:kern w:val="24"/>
          <w:sz w:val="22"/>
          <w:szCs w:val="22"/>
        </w:rPr>
      </w:pPr>
      <w:r w:rsidRPr="00B66BAE">
        <w:rPr>
          <w:rFonts w:asciiTheme="minorHAnsi" w:hAnsiTheme="minorHAnsi"/>
          <w:sz w:val="22"/>
          <w:szCs w:val="22"/>
        </w:rPr>
        <w:t>Clark has</w:t>
      </w:r>
      <w:r w:rsidR="005B4141" w:rsidRPr="00B66BAE">
        <w:rPr>
          <w:rFonts w:asciiTheme="minorHAnsi" w:hAnsiTheme="minorHAnsi" w:cstheme="minorBidi"/>
          <w:color w:val="000000" w:themeColor="text1"/>
          <w:kern w:val="24"/>
          <w:sz w:val="22"/>
          <w:szCs w:val="22"/>
        </w:rPr>
        <w:t xml:space="preserve"> an increasing population of students from historically disadvantaged groups</w:t>
      </w:r>
      <w:r w:rsidR="0043589E" w:rsidRPr="00B66BAE">
        <w:rPr>
          <w:rFonts w:asciiTheme="minorHAnsi" w:hAnsiTheme="minorHAnsi" w:cstheme="minorBidi"/>
          <w:color w:val="000000" w:themeColor="text1"/>
          <w:kern w:val="24"/>
          <w:sz w:val="22"/>
          <w:szCs w:val="22"/>
        </w:rPr>
        <w:t xml:space="preserve">. </w:t>
      </w:r>
      <w:r w:rsidR="0043589E" w:rsidRPr="00B66BAE">
        <w:rPr>
          <w:rFonts w:asciiTheme="minorHAnsi" w:hAnsiTheme="minorHAnsi"/>
          <w:sz w:val="22"/>
          <w:szCs w:val="22"/>
        </w:rPr>
        <w:t xml:space="preserve">Among </w:t>
      </w:r>
      <w:r w:rsidR="006570D8">
        <w:rPr>
          <w:rFonts w:asciiTheme="minorHAnsi" w:hAnsiTheme="minorHAnsi"/>
          <w:sz w:val="22"/>
          <w:szCs w:val="22"/>
        </w:rPr>
        <w:t>f</w:t>
      </w:r>
      <w:r w:rsidR="0043589E" w:rsidRPr="00B66BAE">
        <w:rPr>
          <w:rFonts w:asciiTheme="minorHAnsi" w:hAnsiTheme="minorHAnsi"/>
          <w:sz w:val="22"/>
          <w:szCs w:val="22"/>
        </w:rPr>
        <w:t>irst-</w:t>
      </w:r>
      <w:r w:rsidR="006570D8">
        <w:rPr>
          <w:rFonts w:asciiTheme="minorHAnsi" w:hAnsiTheme="minorHAnsi"/>
          <w:sz w:val="22"/>
          <w:szCs w:val="22"/>
        </w:rPr>
        <w:t>t</w:t>
      </w:r>
      <w:r w:rsidR="0043589E" w:rsidRPr="00B66BAE">
        <w:rPr>
          <w:rFonts w:asciiTheme="minorHAnsi" w:hAnsiTheme="minorHAnsi"/>
          <w:sz w:val="22"/>
          <w:szCs w:val="22"/>
        </w:rPr>
        <w:t>erm students, 4 in 5 identify with one or more historically disadvantaged group</w:t>
      </w:r>
      <w:r w:rsidR="00983DC3">
        <w:rPr>
          <w:rFonts w:asciiTheme="minorHAnsi" w:hAnsiTheme="minorHAnsi"/>
          <w:sz w:val="22"/>
          <w:szCs w:val="22"/>
        </w:rPr>
        <w:t>s identified below</w:t>
      </w:r>
      <w:r w:rsidR="0043589E" w:rsidRPr="00B66BAE">
        <w:rPr>
          <w:rFonts w:asciiTheme="minorHAnsi" w:hAnsiTheme="minorHAnsi"/>
          <w:sz w:val="22"/>
          <w:szCs w:val="22"/>
        </w:rPr>
        <w:t xml:space="preserve">, with almost half (46%) identifying with two or more groups </w:t>
      </w:r>
      <w:r w:rsidR="00635C46" w:rsidRPr="00B66BAE">
        <w:rPr>
          <w:rFonts w:asciiTheme="minorHAnsi" w:hAnsiTheme="minorHAnsi" w:cstheme="minorBidi"/>
          <w:color w:val="000000" w:themeColor="text1"/>
          <w:kern w:val="24"/>
          <w:sz w:val="22"/>
          <w:szCs w:val="22"/>
        </w:rPr>
        <w:t>(see Table 2 for new student demographics)</w:t>
      </w:r>
      <w:r w:rsidR="00334B14" w:rsidRPr="00B66BAE">
        <w:rPr>
          <w:rFonts w:asciiTheme="minorHAnsi" w:hAnsiTheme="minorHAnsi" w:cstheme="minorBidi"/>
          <w:color w:val="000000" w:themeColor="text1"/>
          <w:kern w:val="24"/>
          <w:sz w:val="22"/>
          <w:szCs w:val="22"/>
        </w:rPr>
        <w:t>:</w:t>
      </w:r>
    </w:p>
    <w:p w14:paraId="38976024" w14:textId="77777777" w:rsidR="003E48BA" w:rsidRPr="00B66BAE" w:rsidRDefault="003E48BA" w:rsidP="003E48BA">
      <w:pPr>
        <w:pStyle w:val="NormalWeb"/>
        <w:numPr>
          <w:ilvl w:val="0"/>
          <w:numId w:val="2"/>
        </w:numPr>
        <w:spacing w:before="120" w:beforeAutospacing="0" w:after="0" w:afterAutospacing="0"/>
        <w:ind w:left="270" w:hanging="270"/>
        <w:rPr>
          <w:rFonts w:asciiTheme="minorHAnsi" w:hAnsiTheme="minorHAnsi" w:cstheme="minorBidi"/>
          <w:color w:val="000000" w:themeColor="text1"/>
          <w:kern w:val="24"/>
          <w:sz w:val="22"/>
          <w:szCs w:val="22"/>
        </w:rPr>
      </w:pPr>
      <w:r w:rsidRPr="00B66BAE">
        <w:rPr>
          <w:rFonts w:asciiTheme="minorHAnsi" w:hAnsiTheme="minorHAnsi" w:cstheme="minorBidi"/>
          <w:b/>
          <w:color w:val="000000" w:themeColor="text1"/>
          <w:kern w:val="24"/>
          <w:sz w:val="22"/>
          <w:szCs w:val="22"/>
        </w:rPr>
        <w:t>Students of Color</w:t>
      </w:r>
      <w:r w:rsidRPr="00B66BAE">
        <w:rPr>
          <w:rFonts w:asciiTheme="minorHAnsi" w:hAnsiTheme="minorHAnsi" w:cstheme="minorBidi"/>
          <w:color w:val="000000" w:themeColor="text1"/>
          <w:kern w:val="24"/>
          <w:sz w:val="22"/>
          <w:szCs w:val="22"/>
        </w:rPr>
        <w:t xml:space="preserve">. The percent of students of color has increased from 21% to 31% within the past eight academic </w:t>
      </w:r>
      <w:r w:rsidR="00F904A3">
        <w:rPr>
          <w:rFonts w:asciiTheme="minorHAnsi" w:hAnsiTheme="minorHAnsi" w:cstheme="minorBidi"/>
          <w:color w:val="000000" w:themeColor="text1"/>
          <w:kern w:val="24"/>
          <w:sz w:val="22"/>
          <w:szCs w:val="22"/>
        </w:rPr>
        <w:t>years (Fall 2006 to Fall 2014).</w:t>
      </w:r>
    </w:p>
    <w:p w14:paraId="22502045" w14:textId="2A676F58" w:rsidR="003E48BA" w:rsidRPr="00B66BAE" w:rsidRDefault="003E48BA" w:rsidP="003E48BA">
      <w:pPr>
        <w:pStyle w:val="NormalWeb"/>
        <w:numPr>
          <w:ilvl w:val="0"/>
          <w:numId w:val="2"/>
        </w:numPr>
        <w:spacing w:before="120" w:beforeAutospacing="0" w:after="0" w:afterAutospacing="0"/>
        <w:ind w:left="270" w:hanging="270"/>
        <w:rPr>
          <w:rFonts w:asciiTheme="minorHAnsi" w:hAnsiTheme="minorHAnsi" w:cstheme="minorBidi"/>
          <w:color w:val="000000" w:themeColor="text1"/>
          <w:kern w:val="24"/>
          <w:sz w:val="22"/>
          <w:szCs w:val="22"/>
        </w:rPr>
      </w:pPr>
      <w:r w:rsidRPr="00B66BAE">
        <w:rPr>
          <w:rFonts w:asciiTheme="minorHAnsi" w:hAnsiTheme="minorHAnsi" w:cstheme="minorBidi"/>
          <w:b/>
          <w:color w:val="000000" w:themeColor="text1"/>
          <w:kern w:val="24"/>
          <w:sz w:val="22"/>
          <w:szCs w:val="22"/>
        </w:rPr>
        <w:t>First</w:t>
      </w:r>
      <w:r w:rsidR="00F60B97">
        <w:rPr>
          <w:rFonts w:asciiTheme="minorHAnsi" w:hAnsiTheme="minorHAnsi" w:cstheme="minorBidi"/>
          <w:b/>
          <w:color w:val="000000" w:themeColor="text1"/>
          <w:kern w:val="24"/>
          <w:sz w:val="22"/>
          <w:szCs w:val="22"/>
        </w:rPr>
        <w:t xml:space="preserve"> </w:t>
      </w:r>
      <w:r w:rsidRPr="00B66BAE">
        <w:rPr>
          <w:rFonts w:asciiTheme="minorHAnsi" w:hAnsiTheme="minorHAnsi" w:cstheme="minorBidi"/>
          <w:b/>
          <w:color w:val="000000" w:themeColor="text1"/>
          <w:kern w:val="24"/>
          <w:sz w:val="22"/>
          <w:szCs w:val="22"/>
        </w:rPr>
        <w:t>Generation Students</w:t>
      </w:r>
      <w:r w:rsidRPr="00B66BAE">
        <w:rPr>
          <w:rFonts w:asciiTheme="minorHAnsi" w:hAnsiTheme="minorHAnsi" w:cstheme="minorBidi"/>
          <w:color w:val="000000" w:themeColor="text1"/>
          <w:kern w:val="24"/>
          <w:sz w:val="22"/>
          <w:szCs w:val="22"/>
        </w:rPr>
        <w:t xml:space="preserve">. Over 70% of </w:t>
      </w:r>
      <w:r w:rsidR="00F60B97">
        <w:rPr>
          <w:rFonts w:asciiTheme="minorHAnsi" w:hAnsiTheme="minorHAnsi" w:cstheme="minorBidi"/>
          <w:color w:val="000000" w:themeColor="text1"/>
          <w:kern w:val="24"/>
          <w:sz w:val="22"/>
          <w:szCs w:val="22"/>
        </w:rPr>
        <w:t>Clark’s</w:t>
      </w:r>
      <w:r w:rsidR="00F60B97" w:rsidRPr="00B66BAE">
        <w:rPr>
          <w:rFonts w:asciiTheme="minorHAnsi" w:hAnsiTheme="minorHAnsi" w:cstheme="minorBidi"/>
          <w:color w:val="000000" w:themeColor="text1"/>
          <w:kern w:val="24"/>
          <w:sz w:val="22"/>
          <w:szCs w:val="22"/>
        </w:rPr>
        <w:t xml:space="preserve"> </w:t>
      </w:r>
      <w:r w:rsidRPr="00B66BAE">
        <w:rPr>
          <w:rFonts w:asciiTheme="minorHAnsi" w:hAnsiTheme="minorHAnsi" w:cstheme="minorBidi"/>
          <w:color w:val="000000" w:themeColor="text1"/>
          <w:kern w:val="24"/>
          <w:sz w:val="22"/>
          <w:szCs w:val="22"/>
        </w:rPr>
        <w:t>students are First</w:t>
      </w:r>
      <w:r w:rsidR="00F60B97">
        <w:rPr>
          <w:rFonts w:asciiTheme="minorHAnsi" w:hAnsiTheme="minorHAnsi" w:cstheme="minorBidi"/>
          <w:color w:val="000000" w:themeColor="text1"/>
          <w:kern w:val="24"/>
          <w:sz w:val="22"/>
          <w:szCs w:val="22"/>
        </w:rPr>
        <w:t xml:space="preserve"> </w:t>
      </w:r>
      <w:r w:rsidRPr="00B66BAE">
        <w:rPr>
          <w:rFonts w:asciiTheme="minorHAnsi" w:hAnsiTheme="minorHAnsi" w:cstheme="minorBidi"/>
          <w:color w:val="000000" w:themeColor="text1"/>
          <w:kern w:val="24"/>
          <w:sz w:val="22"/>
          <w:szCs w:val="22"/>
        </w:rPr>
        <w:t>Generation. First</w:t>
      </w:r>
      <w:r w:rsidR="00F60B97">
        <w:rPr>
          <w:rFonts w:asciiTheme="minorHAnsi" w:hAnsiTheme="minorHAnsi" w:cstheme="minorBidi"/>
          <w:color w:val="000000" w:themeColor="text1"/>
          <w:kern w:val="24"/>
          <w:sz w:val="22"/>
          <w:szCs w:val="22"/>
        </w:rPr>
        <w:t xml:space="preserve"> </w:t>
      </w:r>
      <w:r w:rsidRPr="00B66BAE">
        <w:rPr>
          <w:rFonts w:asciiTheme="minorHAnsi" w:hAnsiTheme="minorHAnsi" w:cstheme="minorBidi"/>
          <w:color w:val="000000" w:themeColor="text1"/>
          <w:kern w:val="24"/>
          <w:sz w:val="22"/>
          <w:szCs w:val="22"/>
        </w:rPr>
        <w:t>Generation refers to students who are the first in their families to go to college. These students can experience challenges during their academic career, including financial barriers, lack of knowledge about college systems, and lower rates of academic preparedness</w:t>
      </w:r>
      <w:r w:rsidRPr="00B66BAE">
        <w:rPr>
          <w:rStyle w:val="FootnoteReference"/>
          <w:rFonts w:asciiTheme="minorHAnsi" w:hAnsiTheme="minorHAnsi" w:cstheme="minorBidi"/>
          <w:color w:val="000000" w:themeColor="text1"/>
          <w:kern w:val="24"/>
          <w:sz w:val="22"/>
          <w:szCs w:val="22"/>
        </w:rPr>
        <w:footnoteReference w:id="2"/>
      </w:r>
      <w:r w:rsidRPr="00B66BAE">
        <w:rPr>
          <w:rFonts w:asciiTheme="minorHAnsi" w:hAnsiTheme="minorHAnsi" w:cstheme="minorBidi"/>
          <w:color w:val="000000" w:themeColor="text1"/>
          <w:kern w:val="24"/>
          <w:sz w:val="22"/>
          <w:szCs w:val="22"/>
        </w:rPr>
        <w:t>.</w:t>
      </w:r>
    </w:p>
    <w:p w14:paraId="76F2ACB6" w14:textId="77777777" w:rsidR="003E48BA" w:rsidRPr="00B66BAE" w:rsidRDefault="003E48BA" w:rsidP="003E48BA">
      <w:pPr>
        <w:pStyle w:val="NormalWeb"/>
        <w:numPr>
          <w:ilvl w:val="0"/>
          <w:numId w:val="2"/>
        </w:numPr>
        <w:spacing w:before="120" w:beforeAutospacing="0" w:after="0" w:afterAutospacing="0"/>
        <w:ind w:left="270" w:hanging="270"/>
        <w:rPr>
          <w:rFonts w:asciiTheme="minorHAnsi" w:hAnsiTheme="minorHAnsi" w:cstheme="minorBidi"/>
          <w:color w:val="000000" w:themeColor="text1"/>
          <w:kern w:val="24"/>
          <w:sz w:val="22"/>
          <w:szCs w:val="22"/>
        </w:rPr>
      </w:pPr>
      <w:r w:rsidRPr="00B66BAE">
        <w:rPr>
          <w:rFonts w:asciiTheme="minorHAnsi" w:hAnsiTheme="minorHAnsi" w:cstheme="minorBidi"/>
          <w:b/>
          <w:color w:val="000000" w:themeColor="text1"/>
          <w:kern w:val="24"/>
          <w:sz w:val="22"/>
          <w:szCs w:val="22"/>
        </w:rPr>
        <w:t>Low-Income Students</w:t>
      </w:r>
      <w:r w:rsidRPr="00B66BAE">
        <w:rPr>
          <w:rFonts w:asciiTheme="minorHAnsi" w:hAnsiTheme="minorHAnsi" w:cstheme="minorBidi"/>
          <w:color w:val="000000" w:themeColor="text1"/>
          <w:kern w:val="24"/>
          <w:sz w:val="22"/>
          <w:szCs w:val="22"/>
        </w:rPr>
        <w:t>. Two in five students (40%) at Clark College identify as low-income, with household income below 150% of the Federal Poverty Level.</w:t>
      </w:r>
    </w:p>
    <w:p w14:paraId="56D8C46B" w14:textId="77777777" w:rsidR="003E48BA" w:rsidRPr="00315237" w:rsidRDefault="003E48BA" w:rsidP="003E48BA">
      <w:pPr>
        <w:pStyle w:val="NormalWeb"/>
        <w:numPr>
          <w:ilvl w:val="0"/>
          <w:numId w:val="2"/>
        </w:numPr>
        <w:spacing w:before="120" w:beforeAutospacing="0" w:after="0" w:afterAutospacing="0"/>
        <w:ind w:left="270" w:hanging="270"/>
        <w:rPr>
          <w:rFonts w:asciiTheme="minorHAnsi" w:hAnsiTheme="minorHAnsi" w:cstheme="minorBidi"/>
          <w:color w:val="000000" w:themeColor="text1"/>
          <w:kern w:val="24"/>
          <w:sz w:val="22"/>
          <w:szCs w:val="22"/>
        </w:rPr>
      </w:pPr>
      <w:r w:rsidRPr="00B66BAE">
        <w:rPr>
          <w:rFonts w:asciiTheme="minorHAnsi" w:hAnsiTheme="minorHAnsi" w:cstheme="minorBidi"/>
          <w:b/>
          <w:color w:val="000000" w:themeColor="text1"/>
          <w:kern w:val="24"/>
          <w:sz w:val="22"/>
          <w:szCs w:val="22"/>
        </w:rPr>
        <w:t>Students with a Disability</w:t>
      </w:r>
      <w:r w:rsidRPr="00B66BAE">
        <w:rPr>
          <w:rFonts w:asciiTheme="minorHAnsi" w:hAnsiTheme="minorHAnsi" w:cstheme="minorBidi"/>
          <w:color w:val="000000" w:themeColor="text1"/>
          <w:kern w:val="24"/>
          <w:sz w:val="22"/>
          <w:szCs w:val="22"/>
        </w:rPr>
        <w:t xml:space="preserve">. 1 in 20 students at Clark College self-identify as </w:t>
      </w:r>
      <w:r w:rsidR="00983DC3">
        <w:rPr>
          <w:rFonts w:asciiTheme="minorHAnsi" w:hAnsiTheme="minorHAnsi" w:cstheme="minorBidi"/>
          <w:color w:val="000000" w:themeColor="text1"/>
          <w:kern w:val="24"/>
          <w:sz w:val="22"/>
          <w:szCs w:val="22"/>
        </w:rPr>
        <w:t>living with</w:t>
      </w:r>
      <w:r w:rsidRPr="00B66BAE">
        <w:rPr>
          <w:rFonts w:asciiTheme="minorHAnsi" w:hAnsiTheme="minorHAnsi" w:cstheme="minorBidi"/>
          <w:color w:val="000000" w:themeColor="text1"/>
          <w:kern w:val="24"/>
          <w:sz w:val="22"/>
          <w:szCs w:val="22"/>
        </w:rPr>
        <w:t xml:space="preserve"> a disability. Students with disabilities may need accommodations in order to ensure that traditional methods, programs and services are accessible, which are currently facilitated through the Clark College Disability Supp</w:t>
      </w:r>
      <w:r w:rsidRPr="00315237">
        <w:rPr>
          <w:rFonts w:asciiTheme="minorHAnsi" w:hAnsiTheme="minorHAnsi" w:cstheme="minorBidi"/>
          <w:color w:val="000000" w:themeColor="text1"/>
          <w:kern w:val="24"/>
          <w:sz w:val="22"/>
          <w:szCs w:val="22"/>
        </w:rPr>
        <w:t>ort Services Office.</w:t>
      </w:r>
    </w:p>
    <w:p w14:paraId="54F411EA" w14:textId="5422BF62" w:rsidR="00B66BAE" w:rsidRDefault="00983DC3" w:rsidP="00983DC3">
      <w:pPr>
        <w:pStyle w:val="NormalWeb"/>
        <w:spacing w:before="120" w:beforeAutospacing="0" w:after="0" w:afterAutospacing="0"/>
        <w:rPr>
          <w:rFonts w:asciiTheme="minorHAnsi" w:hAnsiTheme="minorHAnsi" w:cstheme="minorBidi"/>
          <w:color w:val="000000" w:themeColor="text1"/>
          <w:kern w:val="24"/>
          <w:sz w:val="22"/>
          <w:szCs w:val="22"/>
        </w:rPr>
      </w:pPr>
      <w:r w:rsidRPr="00315237">
        <w:rPr>
          <w:rFonts w:asciiTheme="minorHAnsi" w:hAnsiTheme="minorHAnsi" w:cstheme="minorBidi"/>
          <w:color w:val="000000" w:themeColor="text1"/>
          <w:kern w:val="24"/>
          <w:sz w:val="22"/>
          <w:szCs w:val="22"/>
        </w:rPr>
        <w:t xml:space="preserve">Please note that the historically disadvantaged groups identified above only include those groups for which </w:t>
      </w:r>
      <w:r w:rsidR="00315237" w:rsidRPr="00315237">
        <w:rPr>
          <w:rFonts w:asciiTheme="minorHAnsi" w:hAnsiTheme="minorHAnsi" w:cstheme="minorBidi"/>
          <w:color w:val="000000" w:themeColor="text1"/>
          <w:kern w:val="24"/>
          <w:sz w:val="22"/>
          <w:szCs w:val="22"/>
        </w:rPr>
        <w:t xml:space="preserve">Clark College </w:t>
      </w:r>
      <w:r w:rsidRPr="00315237">
        <w:rPr>
          <w:rFonts w:asciiTheme="minorHAnsi" w:hAnsiTheme="minorHAnsi" w:cstheme="minorBidi"/>
          <w:color w:val="000000" w:themeColor="text1"/>
          <w:kern w:val="24"/>
          <w:sz w:val="22"/>
          <w:szCs w:val="22"/>
        </w:rPr>
        <w:t>ha</w:t>
      </w:r>
      <w:r w:rsidR="00315237" w:rsidRPr="00315237">
        <w:rPr>
          <w:rFonts w:asciiTheme="minorHAnsi" w:hAnsiTheme="minorHAnsi" w:cstheme="minorBidi"/>
          <w:color w:val="000000" w:themeColor="text1"/>
          <w:kern w:val="24"/>
          <w:sz w:val="22"/>
          <w:szCs w:val="22"/>
        </w:rPr>
        <w:t>s</w:t>
      </w:r>
      <w:r w:rsidRPr="00315237">
        <w:rPr>
          <w:rFonts w:asciiTheme="minorHAnsi" w:hAnsiTheme="minorHAnsi" w:cstheme="minorBidi"/>
          <w:color w:val="000000" w:themeColor="text1"/>
          <w:kern w:val="24"/>
          <w:sz w:val="22"/>
          <w:szCs w:val="22"/>
        </w:rPr>
        <w:t xml:space="preserve"> accurate, longitudinal data to monitor student academic experience. Clark College </w:t>
      </w:r>
      <w:r w:rsidR="00166F2B" w:rsidRPr="00315237">
        <w:rPr>
          <w:rFonts w:asciiTheme="minorHAnsi" w:hAnsiTheme="minorHAnsi" w:cstheme="minorBidi"/>
          <w:color w:val="000000" w:themeColor="text1"/>
          <w:kern w:val="24"/>
          <w:sz w:val="22"/>
          <w:szCs w:val="22"/>
        </w:rPr>
        <w:t xml:space="preserve">is working to collect additional </w:t>
      </w:r>
      <w:r w:rsidRPr="00315237">
        <w:rPr>
          <w:rFonts w:asciiTheme="minorHAnsi" w:hAnsiTheme="minorHAnsi" w:cstheme="minorBidi"/>
          <w:color w:val="000000" w:themeColor="text1"/>
          <w:kern w:val="24"/>
          <w:sz w:val="22"/>
          <w:szCs w:val="22"/>
        </w:rPr>
        <w:t xml:space="preserve">historically disadvantaged </w:t>
      </w:r>
      <w:r w:rsidR="00A16516" w:rsidRPr="00315237">
        <w:rPr>
          <w:rFonts w:asciiTheme="minorHAnsi" w:hAnsiTheme="minorHAnsi" w:cstheme="minorBidi"/>
          <w:color w:val="000000" w:themeColor="text1"/>
          <w:kern w:val="24"/>
          <w:sz w:val="22"/>
          <w:szCs w:val="22"/>
        </w:rPr>
        <w:t>group status</w:t>
      </w:r>
      <w:r w:rsidR="00166F2B" w:rsidRPr="00315237">
        <w:rPr>
          <w:rFonts w:asciiTheme="minorHAnsi" w:hAnsiTheme="minorHAnsi" w:cstheme="minorBidi"/>
          <w:color w:val="000000" w:themeColor="text1"/>
          <w:kern w:val="24"/>
          <w:sz w:val="22"/>
          <w:szCs w:val="22"/>
        </w:rPr>
        <w:t>es</w:t>
      </w:r>
      <w:r w:rsidRPr="00315237">
        <w:rPr>
          <w:rFonts w:asciiTheme="minorHAnsi" w:hAnsiTheme="minorHAnsi" w:cstheme="minorBidi"/>
          <w:color w:val="000000" w:themeColor="text1"/>
          <w:kern w:val="24"/>
          <w:sz w:val="22"/>
          <w:szCs w:val="22"/>
        </w:rPr>
        <w:t>, including but not limited to: veteran status, sexual orientation, and gender identity.</w:t>
      </w:r>
    </w:p>
    <w:p w14:paraId="32601E11" w14:textId="77777777" w:rsidR="00F60B97" w:rsidRDefault="00F60B97" w:rsidP="00983DC3">
      <w:pPr>
        <w:pStyle w:val="NormalWeb"/>
        <w:spacing w:before="120" w:beforeAutospacing="0" w:after="0" w:afterAutospacing="0"/>
        <w:rPr>
          <w:rFonts w:asciiTheme="minorHAnsi" w:hAnsiTheme="minorHAnsi" w:cstheme="minorBidi"/>
          <w:color w:val="000000" w:themeColor="text1"/>
          <w:kern w:val="24"/>
          <w:sz w:val="22"/>
          <w:szCs w:val="22"/>
        </w:rPr>
      </w:pPr>
    </w:p>
    <w:p w14:paraId="2C6E46C5" w14:textId="77777777" w:rsidR="00F60B97" w:rsidRDefault="00F60B97" w:rsidP="00983DC3">
      <w:pPr>
        <w:pStyle w:val="NormalWeb"/>
        <w:spacing w:before="120" w:beforeAutospacing="0" w:after="0" w:afterAutospacing="0"/>
        <w:rPr>
          <w:rFonts w:asciiTheme="minorHAnsi" w:hAnsiTheme="minorHAnsi"/>
          <w:b/>
          <w:color w:val="000000" w:themeColor="text1"/>
          <w:kern w:val="24"/>
          <w:sz w:val="22"/>
          <w:szCs w:val="22"/>
        </w:rPr>
        <w:sectPr w:rsidR="00F60B97" w:rsidSect="00983DC3">
          <w:pgSz w:w="12240" w:h="15840"/>
          <w:pgMar w:top="1166" w:right="1296" w:bottom="634" w:left="1296" w:header="720" w:footer="720" w:gutter="0"/>
          <w:cols w:space="720"/>
          <w:docGrid w:linePitch="360"/>
        </w:sectPr>
      </w:pPr>
    </w:p>
    <w:p w14:paraId="1D9DD02E" w14:textId="77777777" w:rsidR="00635C46" w:rsidRPr="00635C46" w:rsidRDefault="00635C46" w:rsidP="00031CBB">
      <w:pPr>
        <w:pStyle w:val="NormalWeb"/>
        <w:spacing w:before="0" w:beforeAutospacing="0" w:after="0" w:afterAutospacing="0"/>
        <w:rPr>
          <w:rFonts w:asciiTheme="minorHAnsi" w:hAnsiTheme="minorHAnsi"/>
          <w:color w:val="000000" w:themeColor="text1"/>
          <w:kern w:val="24"/>
          <w:sz w:val="22"/>
          <w:szCs w:val="22"/>
        </w:rPr>
      </w:pPr>
      <w:r w:rsidRPr="00635C46">
        <w:rPr>
          <w:rFonts w:asciiTheme="minorHAnsi" w:hAnsiTheme="minorHAnsi"/>
          <w:b/>
          <w:color w:val="000000" w:themeColor="text1"/>
          <w:kern w:val="24"/>
          <w:sz w:val="22"/>
          <w:szCs w:val="22"/>
        </w:rPr>
        <w:lastRenderedPageBreak/>
        <w:t xml:space="preserve">Table 2. First-Term, Degree-Seeking Students Starting Fall 2013 </w:t>
      </w:r>
      <w:r>
        <w:rPr>
          <w:rFonts w:asciiTheme="minorHAnsi" w:hAnsiTheme="minorHAnsi"/>
          <w:b/>
          <w:color w:val="000000" w:themeColor="text1"/>
          <w:kern w:val="24"/>
          <w:sz w:val="22"/>
          <w:szCs w:val="22"/>
        </w:rPr>
        <w:t>by Historically Disadvantaged Groups</w:t>
      </w:r>
      <w:r w:rsidRPr="00635C46">
        <w:rPr>
          <w:rFonts w:asciiTheme="minorHAnsi" w:hAnsiTheme="minorHAnsi"/>
          <w:b/>
          <w:color w:val="000000" w:themeColor="text1"/>
          <w:kern w:val="24"/>
          <w:sz w:val="22"/>
          <w:szCs w:val="22"/>
        </w:rPr>
        <w:t xml:space="preserve"> </w:t>
      </w:r>
      <w:r w:rsidRPr="00635C46">
        <w:rPr>
          <w:rFonts w:asciiTheme="minorHAnsi" w:hAnsiTheme="minorHAnsi"/>
          <w:i/>
          <w:iCs/>
          <w:color w:val="000000" w:themeColor="text1"/>
          <w:kern w:val="24"/>
          <w:sz w:val="22"/>
          <w:szCs w:val="22"/>
        </w:rPr>
        <w:t>Excluding Running Start Students</w:t>
      </w:r>
    </w:p>
    <w:p w14:paraId="4A483BAB" w14:textId="77777777" w:rsidR="00B66987" w:rsidRDefault="00A97A3E" w:rsidP="00031CBB">
      <w:pPr>
        <w:pStyle w:val="NormalWeb"/>
        <w:spacing w:before="0" w:beforeAutospacing="0" w:after="0" w:afterAutospacing="0"/>
        <w:ind w:hanging="90"/>
        <w:rPr>
          <w:rFonts w:asciiTheme="minorHAnsi" w:hAnsi="Calibri" w:cstheme="minorBidi"/>
          <w:color w:val="000000" w:themeColor="text1"/>
          <w:kern w:val="24"/>
          <w:sz w:val="28"/>
          <w:szCs w:val="36"/>
        </w:rPr>
      </w:pPr>
      <w:r>
        <w:rPr>
          <w:rFonts w:asciiTheme="minorHAnsi" w:hAnsi="Calibri" w:cstheme="minorBidi"/>
          <w:noProof/>
          <w:color w:val="000000" w:themeColor="text1"/>
          <w:kern w:val="24"/>
          <w:sz w:val="28"/>
          <w:szCs w:val="36"/>
        </w:rPr>
        <w:drawing>
          <wp:inline distT="0" distB="0" distL="0" distR="0" wp14:anchorId="50A80F02" wp14:editId="5A54A015">
            <wp:extent cx="3028950" cy="22955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25E97C" w14:textId="77777777" w:rsidR="006A027E" w:rsidRDefault="006A027E" w:rsidP="00031CBB">
      <w:pPr>
        <w:pStyle w:val="NormalWeb"/>
        <w:spacing w:before="0" w:beforeAutospacing="0" w:after="0" w:afterAutospacing="0"/>
        <w:rPr>
          <w:rFonts w:asciiTheme="minorHAnsi" w:hAnsiTheme="minorHAnsi" w:cstheme="minorBidi"/>
          <w:b/>
          <w:color w:val="000000" w:themeColor="text1"/>
          <w:kern w:val="24"/>
          <w:sz w:val="22"/>
          <w:szCs w:val="22"/>
        </w:rPr>
      </w:pPr>
    </w:p>
    <w:p w14:paraId="597B1622" w14:textId="77777777" w:rsidR="005B6397" w:rsidRPr="005B6397" w:rsidRDefault="005B6397" w:rsidP="00031CBB">
      <w:pPr>
        <w:pStyle w:val="NormalWeb"/>
        <w:spacing w:before="0" w:beforeAutospacing="0" w:after="0" w:afterAutospacing="0"/>
        <w:rPr>
          <w:rFonts w:asciiTheme="minorHAnsi" w:hAnsiTheme="minorHAnsi" w:cstheme="minorBidi"/>
          <w:color w:val="000000" w:themeColor="text1"/>
          <w:kern w:val="24"/>
          <w:sz w:val="22"/>
          <w:szCs w:val="22"/>
        </w:rPr>
      </w:pPr>
      <w:r w:rsidRPr="005B6397">
        <w:rPr>
          <w:rFonts w:asciiTheme="minorHAnsi" w:hAnsiTheme="minorHAnsi" w:cstheme="minorBidi"/>
          <w:b/>
          <w:color w:val="000000" w:themeColor="text1"/>
          <w:kern w:val="24"/>
          <w:sz w:val="22"/>
          <w:szCs w:val="22"/>
        </w:rPr>
        <w:lastRenderedPageBreak/>
        <w:t xml:space="preserve">Figure 1. </w:t>
      </w:r>
      <w:r w:rsidR="00166F2B">
        <w:rPr>
          <w:rFonts w:asciiTheme="minorHAnsi" w:hAnsiTheme="minorHAnsi" w:cstheme="minorBidi"/>
          <w:b/>
          <w:color w:val="000000" w:themeColor="text1"/>
          <w:kern w:val="24"/>
          <w:sz w:val="22"/>
          <w:szCs w:val="22"/>
        </w:rPr>
        <w:t xml:space="preserve">Total </w:t>
      </w:r>
      <w:r w:rsidRPr="005B6397">
        <w:rPr>
          <w:rFonts w:asciiTheme="minorHAnsi" w:hAnsiTheme="minorHAnsi" w:cstheme="minorBidi"/>
          <w:b/>
          <w:color w:val="000000" w:themeColor="text1"/>
          <w:kern w:val="24"/>
          <w:sz w:val="22"/>
          <w:szCs w:val="22"/>
        </w:rPr>
        <w:t xml:space="preserve">Number of Historically Disadvantaged Groups, Among </w:t>
      </w:r>
      <w:r w:rsidRPr="005B6397">
        <w:rPr>
          <w:rFonts w:asciiTheme="minorHAnsi" w:hAnsiTheme="minorHAnsi"/>
          <w:b/>
          <w:color w:val="000000" w:themeColor="text1"/>
          <w:kern w:val="24"/>
          <w:sz w:val="22"/>
          <w:szCs w:val="22"/>
        </w:rPr>
        <w:t>First-Term</w:t>
      </w:r>
      <w:r w:rsidRPr="00635C46">
        <w:rPr>
          <w:rFonts w:asciiTheme="minorHAnsi" w:hAnsiTheme="minorHAnsi"/>
          <w:b/>
          <w:color w:val="000000" w:themeColor="text1"/>
          <w:kern w:val="24"/>
          <w:sz w:val="22"/>
          <w:szCs w:val="22"/>
        </w:rPr>
        <w:t>, Degree-Seeking Students Starting Fall 2013</w:t>
      </w:r>
      <w:r w:rsidRPr="005B6397">
        <w:rPr>
          <w:rFonts w:asciiTheme="minorHAnsi" w:hAnsiTheme="minorHAnsi"/>
          <w:i/>
          <w:iCs/>
          <w:color w:val="000000" w:themeColor="text1"/>
          <w:kern w:val="24"/>
          <w:sz w:val="22"/>
          <w:szCs w:val="22"/>
        </w:rPr>
        <w:t xml:space="preserve"> </w:t>
      </w:r>
      <w:r w:rsidRPr="00635C46">
        <w:rPr>
          <w:rFonts w:asciiTheme="minorHAnsi" w:hAnsiTheme="minorHAnsi"/>
          <w:i/>
          <w:iCs/>
          <w:color w:val="000000" w:themeColor="text1"/>
          <w:kern w:val="24"/>
          <w:sz w:val="22"/>
          <w:szCs w:val="22"/>
        </w:rPr>
        <w:t>Excluding Running Start Students</w:t>
      </w:r>
    </w:p>
    <w:p w14:paraId="620CF941" w14:textId="77777777" w:rsidR="00A97A3E" w:rsidRDefault="00A97A3E" w:rsidP="00031CBB">
      <w:pPr>
        <w:pStyle w:val="NormalWeb"/>
        <w:spacing w:before="0" w:beforeAutospacing="0" w:after="0" w:afterAutospacing="0"/>
        <w:rPr>
          <w:rFonts w:asciiTheme="minorHAnsi" w:hAnsi="Calibri" w:cstheme="minorBidi"/>
          <w:color w:val="000000" w:themeColor="text1"/>
          <w:kern w:val="24"/>
          <w:sz w:val="28"/>
          <w:szCs w:val="36"/>
        </w:rPr>
      </w:pPr>
      <w:r>
        <w:rPr>
          <w:rFonts w:asciiTheme="minorHAnsi" w:hAnsi="Calibri" w:cstheme="minorBidi"/>
          <w:noProof/>
          <w:color w:val="000000" w:themeColor="text1"/>
          <w:kern w:val="24"/>
          <w:sz w:val="28"/>
          <w:szCs w:val="36"/>
        </w:rPr>
        <w:drawing>
          <wp:inline distT="0" distB="0" distL="0" distR="0" wp14:anchorId="7B8E3618" wp14:editId="19BE2936">
            <wp:extent cx="2505075" cy="22955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C329D3" w14:textId="77777777" w:rsidR="00F675DB" w:rsidRDefault="00F675DB" w:rsidP="00031CBB">
      <w:pPr>
        <w:pStyle w:val="NormalWeb"/>
        <w:spacing w:before="0" w:beforeAutospacing="0" w:after="0" w:afterAutospacing="0"/>
        <w:rPr>
          <w:rFonts w:asciiTheme="minorHAnsi" w:hAnsi="Calibri" w:cstheme="minorBidi"/>
          <w:color w:val="000000" w:themeColor="text1"/>
          <w:kern w:val="24"/>
          <w:sz w:val="28"/>
          <w:szCs w:val="36"/>
        </w:rPr>
      </w:pPr>
    </w:p>
    <w:p w14:paraId="28285D1E" w14:textId="77777777" w:rsidR="00C12A2A" w:rsidRDefault="00C12A2A" w:rsidP="00031CBB">
      <w:pPr>
        <w:pStyle w:val="NormalWeb"/>
        <w:spacing w:before="0" w:beforeAutospacing="0" w:after="0" w:afterAutospacing="0"/>
        <w:rPr>
          <w:rFonts w:asciiTheme="minorHAnsi" w:hAnsi="Calibri" w:cstheme="minorBidi"/>
          <w:color w:val="000000" w:themeColor="text1"/>
          <w:kern w:val="24"/>
          <w:sz w:val="28"/>
          <w:szCs w:val="36"/>
        </w:rPr>
        <w:sectPr w:rsidR="00C12A2A" w:rsidSect="00F75C5D">
          <w:type w:val="continuous"/>
          <w:pgSz w:w="12240" w:h="15840"/>
          <w:pgMar w:top="1440" w:right="1440" w:bottom="1440" w:left="1440" w:header="720" w:footer="720" w:gutter="0"/>
          <w:cols w:num="2" w:space="540"/>
          <w:docGrid w:linePitch="360"/>
        </w:sectPr>
      </w:pPr>
    </w:p>
    <w:p w14:paraId="2F891D18" w14:textId="77777777" w:rsidR="003E48BA" w:rsidRDefault="003E48BA" w:rsidP="00031CBB">
      <w:pPr>
        <w:pStyle w:val="Heading2"/>
        <w:spacing w:before="0"/>
        <w:jc w:val="center"/>
        <w:rPr>
          <w:b/>
        </w:rPr>
      </w:pPr>
    </w:p>
    <w:p w14:paraId="3A2DE95A" w14:textId="77777777" w:rsidR="00F75C5D" w:rsidRDefault="00F75C5D" w:rsidP="00031CBB">
      <w:pPr>
        <w:pStyle w:val="Heading2"/>
        <w:spacing w:before="0"/>
        <w:jc w:val="center"/>
        <w:rPr>
          <w:b/>
        </w:rPr>
      </w:pPr>
    </w:p>
    <w:p w14:paraId="0E5DEE0D" w14:textId="3365A15B" w:rsidR="00F675DB" w:rsidRDefault="00664869" w:rsidP="00031CBB">
      <w:pPr>
        <w:pStyle w:val="Heading2"/>
        <w:spacing w:before="0"/>
        <w:jc w:val="center"/>
        <w:rPr>
          <w:b/>
        </w:rPr>
      </w:pPr>
      <w:r>
        <w:rPr>
          <w:b/>
        </w:rPr>
        <w:t xml:space="preserve">III. </w:t>
      </w:r>
      <w:r w:rsidR="00C12A2A" w:rsidRPr="00C12A2A">
        <w:rPr>
          <w:b/>
        </w:rPr>
        <w:t>Students from historically disadvantaged groups have lower</w:t>
      </w:r>
      <w:r w:rsidR="0059198B">
        <w:rPr>
          <w:b/>
        </w:rPr>
        <w:t xml:space="preserve"> rates of academic preparedness, as measured by the COMPASS Placement Exam</w:t>
      </w:r>
    </w:p>
    <w:p w14:paraId="44821FB8" w14:textId="77777777" w:rsidR="00031CBB" w:rsidRPr="00B66BAE" w:rsidRDefault="00031CBB" w:rsidP="00B66BAE"/>
    <w:p w14:paraId="4F07BC1F" w14:textId="77777777" w:rsidR="00F675DB" w:rsidRDefault="00C12A2A" w:rsidP="00031CBB">
      <w:pPr>
        <w:pStyle w:val="NormalWeb"/>
        <w:spacing w:before="0" w:beforeAutospacing="0" w:after="0" w:afterAutospacing="0"/>
        <w:rPr>
          <w:noProof/>
        </w:rPr>
      </w:pPr>
      <w:r w:rsidRPr="00C12A2A">
        <w:rPr>
          <w:rFonts w:asciiTheme="minorHAnsi" w:hAnsi="Calibri" w:cstheme="minorBidi"/>
          <w:b/>
          <w:color w:val="000000" w:themeColor="text1"/>
          <w:kern w:val="24"/>
          <w:sz w:val="22"/>
          <w:szCs w:val="22"/>
        </w:rPr>
        <w:t>Figure 2. Percent of First-Term, Degree-Seeking Students Starting Fall 2013 Who Place</w:t>
      </w:r>
      <w:r w:rsidR="00F60B97">
        <w:rPr>
          <w:rFonts w:asciiTheme="minorHAnsi" w:hAnsi="Calibri" w:cstheme="minorBidi"/>
          <w:b/>
          <w:color w:val="000000" w:themeColor="text1"/>
          <w:kern w:val="24"/>
          <w:sz w:val="22"/>
          <w:szCs w:val="22"/>
        </w:rPr>
        <w:t>d</w:t>
      </w:r>
      <w:r w:rsidRPr="00C12A2A">
        <w:rPr>
          <w:rFonts w:asciiTheme="minorHAnsi" w:hAnsi="Calibri" w:cstheme="minorBidi"/>
          <w:b/>
          <w:color w:val="000000" w:themeColor="text1"/>
          <w:kern w:val="24"/>
          <w:sz w:val="22"/>
          <w:szCs w:val="22"/>
        </w:rPr>
        <w:t xml:space="preserve"> into Pre-College Coursework, by Number of </w:t>
      </w:r>
      <w:r>
        <w:rPr>
          <w:rFonts w:asciiTheme="minorHAnsi" w:hAnsi="Calibri" w:cstheme="minorBidi"/>
          <w:b/>
          <w:color w:val="000000" w:themeColor="text1"/>
          <w:kern w:val="24"/>
          <w:sz w:val="22"/>
          <w:szCs w:val="22"/>
        </w:rPr>
        <w:t xml:space="preserve">Historically Disadvantaged Groups </w:t>
      </w:r>
      <w:r w:rsidRPr="00C12A2A">
        <w:rPr>
          <w:rFonts w:asciiTheme="minorHAnsi" w:hAnsi="Calibri" w:cstheme="minorBidi"/>
          <w:i/>
          <w:color w:val="000000" w:themeColor="text1"/>
          <w:kern w:val="24"/>
          <w:sz w:val="22"/>
          <w:szCs w:val="22"/>
        </w:rPr>
        <w:t>Excluding Running Start Students</w:t>
      </w:r>
      <w:r>
        <w:rPr>
          <w:noProof/>
        </w:rPr>
        <w:t xml:space="preserve"> </w:t>
      </w:r>
    </w:p>
    <w:p w14:paraId="76C8C8C6" w14:textId="77777777" w:rsidR="00252250" w:rsidRDefault="00252250" w:rsidP="00031CBB">
      <w:pPr>
        <w:pStyle w:val="NormalWeb"/>
        <w:spacing w:before="0" w:beforeAutospacing="0" w:after="0" w:afterAutospacing="0"/>
        <w:rPr>
          <w:rFonts w:asciiTheme="minorHAnsi" w:hAnsi="Calibri" w:cstheme="minorBidi"/>
          <w:i/>
          <w:color w:val="000000" w:themeColor="text1"/>
          <w:kern w:val="24"/>
          <w:sz w:val="22"/>
          <w:szCs w:val="22"/>
        </w:rPr>
      </w:pPr>
      <w:r>
        <w:rPr>
          <w:rFonts w:asciiTheme="minorHAnsi" w:hAnsi="Calibri" w:cstheme="minorBidi"/>
          <w:i/>
          <w:noProof/>
          <w:color w:val="000000" w:themeColor="text1"/>
          <w:kern w:val="24"/>
          <w:sz w:val="22"/>
          <w:szCs w:val="22"/>
        </w:rPr>
        <w:drawing>
          <wp:inline distT="0" distB="0" distL="0" distR="0" wp14:anchorId="2F3FC513" wp14:editId="3C78362E">
            <wp:extent cx="6019800" cy="1647825"/>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CB5A21" w14:textId="77777777" w:rsidR="00F722FF" w:rsidRDefault="00F722FF" w:rsidP="00031CBB">
      <w:pPr>
        <w:pStyle w:val="NormalWeb"/>
        <w:spacing w:before="0" w:beforeAutospacing="0" w:after="0" w:afterAutospacing="0"/>
        <w:rPr>
          <w:rFonts w:asciiTheme="minorHAnsi" w:hAnsiTheme="minorHAnsi" w:cstheme="minorBidi"/>
          <w:b/>
          <w:color w:val="000000" w:themeColor="text1"/>
          <w:kern w:val="24"/>
          <w:sz w:val="22"/>
          <w:szCs w:val="22"/>
        </w:rPr>
      </w:pPr>
    </w:p>
    <w:p w14:paraId="074D63C2" w14:textId="77777777" w:rsidR="00A97A3E" w:rsidRPr="006A027E" w:rsidRDefault="005E5A97" w:rsidP="00031CBB">
      <w:pPr>
        <w:pStyle w:val="NormalWeb"/>
        <w:spacing w:before="0" w:beforeAutospacing="0" w:after="0" w:afterAutospacing="0"/>
        <w:rPr>
          <w:rFonts w:asciiTheme="minorHAnsi" w:hAnsiTheme="minorHAnsi" w:cstheme="minorBidi"/>
          <w:b/>
          <w:color w:val="000000" w:themeColor="text1"/>
          <w:kern w:val="24"/>
          <w:sz w:val="22"/>
          <w:szCs w:val="22"/>
        </w:rPr>
      </w:pPr>
      <w:r w:rsidRPr="006A027E">
        <w:rPr>
          <w:rFonts w:asciiTheme="minorHAnsi" w:hAnsiTheme="minorHAnsi" w:cstheme="minorBidi"/>
          <w:b/>
          <w:color w:val="000000" w:themeColor="text1"/>
          <w:kern w:val="24"/>
          <w:sz w:val="22"/>
          <w:szCs w:val="22"/>
        </w:rPr>
        <w:t>Placement into remediation coursewor</w:t>
      </w:r>
      <w:r w:rsidR="00252250" w:rsidRPr="006A027E">
        <w:rPr>
          <w:rFonts w:asciiTheme="minorHAnsi" w:hAnsiTheme="minorHAnsi" w:cstheme="minorBidi"/>
          <w:b/>
          <w:color w:val="000000" w:themeColor="text1"/>
          <w:kern w:val="24"/>
          <w:sz w:val="22"/>
          <w:szCs w:val="22"/>
        </w:rPr>
        <w:t xml:space="preserve">k </w:t>
      </w:r>
      <w:r w:rsidR="00DE5278">
        <w:rPr>
          <w:rFonts w:asciiTheme="minorHAnsi" w:hAnsiTheme="minorHAnsi" w:cstheme="minorBidi"/>
          <w:b/>
          <w:color w:val="000000" w:themeColor="text1"/>
          <w:kern w:val="24"/>
          <w:sz w:val="22"/>
          <w:szCs w:val="22"/>
        </w:rPr>
        <w:t xml:space="preserve">can </w:t>
      </w:r>
      <w:r w:rsidR="00252250" w:rsidRPr="006A027E">
        <w:rPr>
          <w:rFonts w:asciiTheme="minorHAnsi" w:hAnsiTheme="minorHAnsi" w:cstheme="minorBidi"/>
          <w:b/>
          <w:color w:val="000000" w:themeColor="text1"/>
          <w:kern w:val="24"/>
          <w:sz w:val="22"/>
          <w:szCs w:val="22"/>
        </w:rPr>
        <w:t>result in</w:t>
      </w:r>
      <w:r w:rsidR="006A027E" w:rsidRPr="006A027E">
        <w:rPr>
          <w:rStyle w:val="FootnoteReference"/>
          <w:rFonts w:asciiTheme="minorHAnsi" w:hAnsiTheme="minorHAnsi" w:cstheme="minorBidi"/>
          <w:color w:val="000000" w:themeColor="text1"/>
          <w:kern w:val="24"/>
          <w:sz w:val="22"/>
          <w:szCs w:val="22"/>
        </w:rPr>
        <w:footnoteReference w:id="3"/>
      </w:r>
      <w:r w:rsidR="00252250" w:rsidRPr="006A027E">
        <w:rPr>
          <w:rFonts w:asciiTheme="minorHAnsi" w:hAnsiTheme="minorHAnsi" w:cstheme="minorBidi"/>
          <w:b/>
          <w:color w:val="000000" w:themeColor="text1"/>
          <w:kern w:val="24"/>
          <w:sz w:val="22"/>
          <w:szCs w:val="22"/>
        </w:rPr>
        <w:t>:</w:t>
      </w:r>
    </w:p>
    <w:p w14:paraId="3EF8ACB1" w14:textId="77777777" w:rsidR="00252250" w:rsidRPr="006A027E" w:rsidRDefault="00252250" w:rsidP="00031CBB">
      <w:pPr>
        <w:pStyle w:val="NormalWeb"/>
        <w:numPr>
          <w:ilvl w:val="0"/>
          <w:numId w:val="4"/>
        </w:numPr>
        <w:spacing w:before="0" w:beforeAutospacing="0" w:after="0" w:afterAutospacing="0"/>
        <w:ind w:left="0"/>
        <w:rPr>
          <w:rFonts w:asciiTheme="minorHAnsi" w:hAnsiTheme="minorHAnsi" w:cstheme="minorBidi"/>
          <w:color w:val="000000" w:themeColor="text1"/>
          <w:kern w:val="24"/>
          <w:sz w:val="22"/>
          <w:szCs w:val="22"/>
        </w:rPr>
      </w:pPr>
      <w:r w:rsidRPr="006A027E">
        <w:rPr>
          <w:rFonts w:asciiTheme="minorHAnsi" w:hAnsiTheme="minorHAnsi" w:cstheme="minorBidi"/>
          <w:color w:val="000000" w:themeColor="text1"/>
          <w:kern w:val="24"/>
          <w:sz w:val="22"/>
          <w:szCs w:val="22"/>
        </w:rPr>
        <w:t xml:space="preserve">Lower </w:t>
      </w:r>
      <w:r w:rsidR="006A027E" w:rsidRPr="006A027E">
        <w:rPr>
          <w:rFonts w:asciiTheme="minorHAnsi" w:hAnsiTheme="minorHAnsi" w:cstheme="minorBidi"/>
          <w:color w:val="000000" w:themeColor="text1"/>
          <w:kern w:val="24"/>
          <w:sz w:val="22"/>
          <w:szCs w:val="22"/>
        </w:rPr>
        <w:t>matriculation rates into college</w:t>
      </w:r>
    </w:p>
    <w:p w14:paraId="6505EA60" w14:textId="77777777" w:rsidR="00DE5278" w:rsidRDefault="006A027E" w:rsidP="00031CBB">
      <w:pPr>
        <w:pStyle w:val="NormalWeb"/>
        <w:numPr>
          <w:ilvl w:val="0"/>
          <w:numId w:val="4"/>
        </w:numPr>
        <w:spacing w:before="0" w:beforeAutospacing="0" w:after="0" w:afterAutospacing="0"/>
        <w:ind w:left="0"/>
        <w:rPr>
          <w:rFonts w:asciiTheme="minorHAnsi" w:hAnsiTheme="minorHAnsi" w:cstheme="minorBidi"/>
          <w:color w:val="000000" w:themeColor="text1"/>
          <w:kern w:val="24"/>
          <w:sz w:val="22"/>
          <w:szCs w:val="22"/>
        </w:rPr>
      </w:pPr>
      <w:r w:rsidRPr="00DE5278">
        <w:rPr>
          <w:rFonts w:asciiTheme="minorHAnsi" w:hAnsiTheme="minorHAnsi" w:cstheme="minorBidi"/>
          <w:color w:val="000000" w:themeColor="text1"/>
          <w:kern w:val="24"/>
          <w:sz w:val="22"/>
          <w:szCs w:val="22"/>
        </w:rPr>
        <w:t xml:space="preserve">Extended length of pathway to degree completion, which results in increased costs for students (e.g. tuition, fees, and foregone wages). </w:t>
      </w:r>
      <w:r w:rsidR="00DE5278" w:rsidRPr="00DE5278">
        <w:rPr>
          <w:rFonts w:asciiTheme="minorHAnsi" w:hAnsiTheme="minorHAnsi" w:cstheme="minorBidi"/>
          <w:color w:val="000000" w:themeColor="text1"/>
          <w:kern w:val="24"/>
          <w:sz w:val="22"/>
          <w:szCs w:val="22"/>
        </w:rPr>
        <w:t xml:space="preserve"> </w:t>
      </w:r>
    </w:p>
    <w:p w14:paraId="2EFD4A2E" w14:textId="77777777" w:rsidR="006A027E" w:rsidRDefault="00DE5278" w:rsidP="00031CBB">
      <w:pPr>
        <w:pStyle w:val="NormalWeb"/>
        <w:numPr>
          <w:ilvl w:val="0"/>
          <w:numId w:val="4"/>
        </w:numPr>
        <w:spacing w:before="0" w:beforeAutospacing="0" w:after="0" w:afterAutospacing="0"/>
        <w:ind w:left="0"/>
        <w:rPr>
          <w:rFonts w:asciiTheme="minorHAnsi" w:hAnsiTheme="minorHAnsi" w:cstheme="minorBidi"/>
          <w:color w:val="000000" w:themeColor="text1"/>
          <w:kern w:val="24"/>
          <w:sz w:val="22"/>
          <w:szCs w:val="22"/>
        </w:rPr>
      </w:pPr>
      <w:r w:rsidRPr="00DE5278">
        <w:rPr>
          <w:rFonts w:asciiTheme="minorHAnsi" w:hAnsiTheme="minorHAnsi" w:cstheme="minorBidi"/>
          <w:color w:val="000000" w:themeColor="text1"/>
          <w:kern w:val="24"/>
          <w:sz w:val="22"/>
          <w:szCs w:val="22"/>
        </w:rPr>
        <w:t xml:space="preserve">Utilization of Financial Aid benefits for developmental courses, which do not count towards degree, may impact ability to pay for college (due to Financial Aid </w:t>
      </w:r>
      <w:r>
        <w:rPr>
          <w:rFonts w:asciiTheme="minorHAnsi" w:hAnsiTheme="minorHAnsi" w:cstheme="minorBidi"/>
          <w:color w:val="000000" w:themeColor="text1"/>
          <w:kern w:val="24"/>
          <w:sz w:val="22"/>
          <w:szCs w:val="22"/>
        </w:rPr>
        <w:t xml:space="preserve">regulation, limiting </w:t>
      </w:r>
      <w:r w:rsidRPr="00DE5278">
        <w:rPr>
          <w:rFonts w:asciiTheme="minorHAnsi" w:hAnsiTheme="minorHAnsi" w:cstheme="minorBidi"/>
          <w:color w:val="000000" w:themeColor="text1"/>
          <w:kern w:val="24"/>
          <w:sz w:val="22"/>
          <w:szCs w:val="22"/>
        </w:rPr>
        <w:t>funding to 150% of the time to complete a degree</w:t>
      </w:r>
      <w:r>
        <w:rPr>
          <w:rFonts w:asciiTheme="minorHAnsi" w:hAnsiTheme="minorHAnsi" w:cstheme="minorBidi"/>
          <w:color w:val="000000" w:themeColor="text1"/>
          <w:kern w:val="24"/>
          <w:sz w:val="22"/>
          <w:szCs w:val="22"/>
        </w:rPr>
        <w:t>).</w:t>
      </w:r>
    </w:p>
    <w:p w14:paraId="4613905E" w14:textId="5CEBED02" w:rsidR="005E5A97" w:rsidRDefault="00664869" w:rsidP="00031CBB">
      <w:pPr>
        <w:pStyle w:val="Heading2"/>
        <w:spacing w:before="0" w:line="240" w:lineRule="auto"/>
        <w:jc w:val="center"/>
        <w:rPr>
          <w:b/>
        </w:rPr>
      </w:pPr>
      <w:r>
        <w:rPr>
          <w:b/>
        </w:rPr>
        <w:lastRenderedPageBreak/>
        <w:t xml:space="preserve">IV. </w:t>
      </w:r>
      <w:r w:rsidR="00B57599">
        <w:rPr>
          <w:b/>
        </w:rPr>
        <w:t>Students from historical</w:t>
      </w:r>
      <w:r w:rsidR="00850D9B">
        <w:rPr>
          <w:b/>
        </w:rPr>
        <w:t>ly</w:t>
      </w:r>
      <w:r w:rsidR="00B57599">
        <w:rPr>
          <w:b/>
        </w:rPr>
        <w:t xml:space="preserve"> disadvantaged groups have lower rates of first-quarter success</w:t>
      </w:r>
      <w:r w:rsidR="00FF1039">
        <w:rPr>
          <w:b/>
        </w:rPr>
        <w:t xml:space="preserve"> and completion</w:t>
      </w:r>
    </w:p>
    <w:p w14:paraId="77962ED3" w14:textId="77777777" w:rsidR="004900BA" w:rsidRDefault="004900BA" w:rsidP="00031CBB">
      <w:pPr>
        <w:spacing w:after="0" w:line="240" w:lineRule="auto"/>
      </w:pPr>
    </w:p>
    <w:p w14:paraId="578F5C32" w14:textId="77777777" w:rsidR="006C3B3D" w:rsidRDefault="004900BA" w:rsidP="00031CBB">
      <w:pPr>
        <w:spacing w:after="0"/>
      </w:pPr>
      <w:r>
        <w:t>Evidence, both nationally and at Clark College, shows that students who successfully complete their first quarter courses a</w:t>
      </w:r>
      <w:r w:rsidR="006C3B3D">
        <w:t xml:space="preserve">re more likely to be retained to the next quarter and </w:t>
      </w:r>
      <w:r>
        <w:t xml:space="preserve">complete a degree or certificate. </w:t>
      </w:r>
    </w:p>
    <w:p w14:paraId="31D0DAA2" w14:textId="77777777" w:rsidR="00F77A04" w:rsidRDefault="003A5D5E" w:rsidP="00031CBB">
      <w:pPr>
        <w:spacing w:after="0"/>
      </w:pPr>
      <w:r>
        <w:t xml:space="preserve">However, students from historically disadvantaged groups are less likely to successfully complete their first quarter </w:t>
      </w:r>
      <w:r w:rsidRPr="00B66BAE">
        <w:t xml:space="preserve">courses. </w:t>
      </w:r>
      <w:r w:rsidR="00F77A04" w:rsidRPr="00B66BAE">
        <w:t xml:space="preserve">In particular, </w:t>
      </w:r>
      <w:r w:rsidR="00FA67D8" w:rsidRPr="00B66BAE">
        <w:t xml:space="preserve">low income students and students of color have lower rates of first quarter success, as evidenced by placement on Academic Concerns (see Figure 4).  </w:t>
      </w:r>
      <w:r w:rsidR="00334B14" w:rsidRPr="00B66BAE">
        <w:t>Additionally</w:t>
      </w:r>
      <w:r w:rsidR="00E35C99" w:rsidRPr="00B66BAE">
        <w:t>, students from one or more historically disadvantaged groups have increasingly lower rates of first quarter success</w:t>
      </w:r>
      <w:r w:rsidR="001F3927" w:rsidRPr="00B66BAE">
        <w:t>.</w:t>
      </w:r>
    </w:p>
    <w:p w14:paraId="346044FB" w14:textId="77777777" w:rsidR="003E48BA" w:rsidRDefault="003E48BA" w:rsidP="00031CBB">
      <w:pPr>
        <w:spacing w:after="0"/>
        <w:rPr>
          <w:b/>
        </w:rPr>
      </w:pPr>
    </w:p>
    <w:p w14:paraId="6C4319A3" w14:textId="77777777" w:rsidR="00F80D9D" w:rsidRDefault="00F80D9D" w:rsidP="00031CBB">
      <w:pPr>
        <w:spacing w:after="0"/>
        <w:rPr>
          <w:i/>
        </w:rPr>
      </w:pPr>
      <w:r w:rsidRPr="00FA67D8">
        <w:rPr>
          <w:b/>
        </w:rPr>
        <w:t xml:space="preserve">Figure </w:t>
      </w:r>
      <w:r w:rsidR="00850D9B">
        <w:rPr>
          <w:b/>
        </w:rPr>
        <w:t>3</w:t>
      </w:r>
      <w:r w:rsidRPr="00FA67D8">
        <w:rPr>
          <w:b/>
        </w:rPr>
        <w:t xml:space="preserve">. First Quarter Success </w:t>
      </w:r>
      <w:r w:rsidR="00F151EE">
        <w:rPr>
          <w:b/>
        </w:rPr>
        <w:t>(</w:t>
      </w:r>
      <w:r w:rsidRPr="00FA67D8">
        <w:rPr>
          <w:b/>
        </w:rPr>
        <w:t>Placement on Academic Concern</w:t>
      </w:r>
      <w:r w:rsidR="00F151EE">
        <w:rPr>
          <w:b/>
        </w:rPr>
        <w:t>)</w:t>
      </w:r>
      <w:r w:rsidRPr="00FA67D8">
        <w:rPr>
          <w:b/>
        </w:rPr>
        <w:t xml:space="preserve"> by Historically Disadvantaged Groups. Among First-Term, Degree-Seeking Students Starting Fall 201</w:t>
      </w:r>
      <w:r w:rsidR="00BD0715" w:rsidRPr="00FA67D8">
        <w:rPr>
          <w:b/>
        </w:rPr>
        <w:t>3</w:t>
      </w:r>
      <w:r w:rsidRPr="00FA67D8">
        <w:rPr>
          <w:b/>
        </w:rPr>
        <w:t xml:space="preserve">. </w:t>
      </w:r>
      <w:r w:rsidRPr="00FA67D8">
        <w:rPr>
          <w:i/>
        </w:rPr>
        <w:t>Excluding Running Start students.</w:t>
      </w:r>
    </w:p>
    <w:p w14:paraId="653B74DA" w14:textId="77777777" w:rsidR="00BD0715" w:rsidRDefault="00FA67D8" w:rsidP="00031CBB">
      <w:pPr>
        <w:spacing w:after="0"/>
      </w:pPr>
      <w:r>
        <w:rPr>
          <w:noProof/>
        </w:rPr>
        <w:drawing>
          <wp:inline distT="0" distB="0" distL="0" distR="0" wp14:anchorId="6AC3591A" wp14:editId="633E24D7">
            <wp:extent cx="5486400" cy="17145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FECC1A" w14:textId="77777777" w:rsidR="003E48BA" w:rsidRDefault="003E48BA" w:rsidP="003E48BA">
      <w:pPr>
        <w:pStyle w:val="Heading2"/>
        <w:spacing w:before="0" w:line="240" w:lineRule="auto"/>
        <w:jc w:val="center"/>
        <w:rPr>
          <w:b/>
        </w:rPr>
      </w:pPr>
    </w:p>
    <w:p w14:paraId="2DE8D36B" w14:textId="77777777" w:rsidR="00F84811" w:rsidRPr="00F84811" w:rsidRDefault="00F84811" w:rsidP="00F84811"/>
    <w:p w14:paraId="58037EC5" w14:textId="61F05478" w:rsidR="003E48BA" w:rsidRDefault="003E48BA" w:rsidP="003E48BA">
      <w:pPr>
        <w:pStyle w:val="Heading2"/>
        <w:spacing w:before="0" w:line="240" w:lineRule="auto"/>
        <w:jc w:val="center"/>
        <w:rPr>
          <w:b/>
        </w:rPr>
      </w:pPr>
      <w:r>
        <w:rPr>
          <w:b/>
        </w:rPr>
        <w:t>V. Students from historical</w:t>
      </w:r>
      <w:r w:rsidR="00850D9B">
        <w:rPr>
          <w:b/>
        </w:rPr>
        <w:t>ly</w:t>
      </w:r>
      <w:r>
        <w:rPr>
          <w:b/>
        </w:rPr>
        <w:t xml:space="preserve"> disadvantaged groups have lower rates of completion</w:t>
      </w:r>
    </w:p>
    <w:p w14:paraId="19232FAC" w14:textId="77777777" w:rsidR="003E48BA" w:rsidRDefault="003E48BA" w:rsidP="00031CBB">
      <w:pPr>
        <w:spacing w:after="0"/>
      </w:pPr>
    </w:p>
    <w:p w14:paraId="75E8A6BC" w14:textId="5F7710C5" w:rsidR="00850D9B" w:rsidRDefault="00850D9B" w:rsidP="00850D9B">
      <w:pPr>
        <w:pStyle w:val="NormalWeb"/>
        <w:spacing w:before="0" w:beforeAutospacing="0" w:after="0" w:afterAutospacing="0"/>
        <w:rPr>
          <w:rFonts w:asciiTheme="minorHAnsi" w:hAnsiTheme="minorHAnsi"/>
          <w:sz w:val="22"/>
          <w:szCs w:val="22"/>
        </w:rPr>
      </w:pPr>
      <w:r w:rsidRPr="00850D9B">
        <w:rPr>
          <w:rFonts w:asciiTheme="minorHAnsi" w:hAnsiTheme="minorHAnsi" w:cstheme="minorBidi"/>
          <w:color w:val="000000" w:themeColor="text1"/>
          <w:kern w:val="24"/>
          <w:sz w:val="22"/>
          <w:szCs w:val="22"/>
        </w:rPr>
        <w:t xml:space="preserve">To meet the demand of </w:t>
      </w:r>
      <w:r w:rsidR="00262460">
        <w:rPr>
          <w:rFonts w:asciiTheme="minorHAnsi" w:hAnsiTheme="minorHAnsi" w:cstheme="minorBidi"/>
          <w:color w:val="000000" w:themeColor="text1"/>
          <w:kern w:val="24"/>
          <w:sz w:val="22"/>
          <w:szCs w:val="22"/>
        </w:rPr>
        <w:t>Clark College’s</w:t>
      </w:r>
      <w:r w:rsidR="00262460" w:rsidRPr="00850D9B">
        <w:rPr>
          <w:rFonts w:asciiTheme="minorHAnsi" w:hAnsiTheme="minorHAnsi" w:cstheme="minorBidi"/>
          <w:color w:val="000000" w:themeColor="text1"/>
          <w:kern w:val="24"/>
          <w:sz w:val="22"/>
          <w:szCs w:val="22"/>
        </w:rPr>
        <w:t xml:space="preserve"> </w:t>
      </w:r>
      <w:r w:rsidRPr="00850D9B">
        <w:rPr>
          <w:rFonts w:asciiTheme="minorHAnsi" w:hAnsiTheme="minorHAnsi" w:cstheme="minorBidi"/>
          <w:color w:val="000000" w:themeColor="text1"/>
          <w:kern w:val="24"/>
          <w:sz w:val="22"/>
          <w:szCs w:val="22"/>
        </w:rPr>
        <w:t xml:space="preserve">community and industry partners, there is a need to increase educational attainment in </w:t>
      </w:r>
      <w:r w:rsidR="00262460">
        <w:rPr>
          <w:rFonts w:asciiTheme="minorHAnsi" w:hAnsiTheme="minorHAnsi" w:cstheme="minorBidi"/>
          <w:color w:val="000000" w:themeColor="text1"/>
          <w:kern w:val="24"/>
          <w:sz w:val="22"/>
          <w:szCs w:val="22"/>
        </w:rPr>
        <w:t>the college’s</w:t>
      </w:r>
      <w:r w:rsidR="00262460" w:rsidRPr="00850D9B">
        <w:rPr>
          <w:rFonts w:asciiTheme="minorHAnsi" w:hAnsiTheme="minorHAnsi" w:cstheme="minorBidi"/>
          <w:color w:val="000000" w:themeColor="text1"/>
          <w:kern w:val="24"/>
          <w:sz w:val="22"/>
          <w:szCs w:val="22"/>
        </w:rPr>
        <w:t xml:space="preserve"> </w:t>
      </w:r>
      <w:r w:rsidRPr="00850D9B">
        <w:rPr>
          <w:rFonts w:asciiTheme="minorHAnsi" w:hAnsiTheme="minorHAnsi" w:cstheme="minorBidi"/>
          <w:color w:val="000000" w:themeColor="text1"/>
          <w:kern w:val="24"/>
          <w:sz w:val="22"/>
          <w:szCs w:val="22"/>
        </w:rPr>
        <w:t xml:space="preserve">service district. </w:t>
      </w:r>
      <w:r>
        <w:rPr>
          <w:rFonts w:asciiTheme="minorHAnsi" w:hAnsiTheme="minorHAnsi" w:cstheme="minorBidi"/>
          <w:color w:val="000000" w:themeColor="text1"/>
          <w:kern w:val="24"/>
          <w:sz w:val="22"/>
          <w:szCs w:val="22"/>
        </w:rPr>
        <w:t>However, c</w:t>
      </w:r>
      <w:r>
        <w:rPr>
          <w:rFonts w:asciiTheme="minorHAnsi" w:hAnsiTheme="minorHAnsi"/>
          <w:sz w:val="22"/>
          <w:szCs w:val="22"/>
        </w:rPr>
        <w:t>urrently, students of color and students with disabilities have lower three-year completion rates at Clark College</w:t>
      </w:r>
      <w:r w:rsidR="00CF546D">
        <w:rPr>
          <w:rFonts w:asciiTheme="minorHAnsi" w:hAnsiTheme="minorHAnsi"/>
          <w:sz w:val="22"/>
          <w:szCs w:val="22"/>
        </w:rPr>
        <w:t xml:space="preserve"> than the average completion rate</w:t>
      </w:r>
      <w:r>
        <w:rPr>
          <w:rFonts w:asciiTheme="minorHAnsi" w:hAnsiTheme="minorHAnsi"/>
          <w:sz w:val="22"/>
          <w:szCs w:val="22"/>
        </w:rPr>
        <w:t xml:space="preserve">, at 10.5% and 5.5%, </w:t>
      </w:r>
      <w:r w:rsidRPr="00CF546D">
        <w:rPr>
          <w:rFonts w:asciiTheme="minorHAnsi" w:hAnsiTheme="minorHAnsi"/>
          <w:sz w:val="22"/>
          <w:szCs w:val="22"/>
        </w:rPr>
        <w:t xml:space="preserve">respectively (see Figure </w:t>
      </w:r>
      <w:r w:rsidR="00CF546D" w:rsidRPr="00CF546D">
        <w:rPr>
          <w:rFonts w:asciiTheme="minorHAnsi" w:hAnsiTheme="minorHAnsi"/>
          <w:sz w:val="22"/>
          <w:szCs w:val="22"/>
        </w:rPr>
        <w:t>4</w:t>
      </w:r>
      <w:r>
        <w:rPr>
          <w:rFonts w:asciiTheme="minorHAnsi" w:hAnsiTheme="minorHAnsi"/>
          <w:sz w:val="22"/>
          <w:szCs w:val="22"/>
        </w:rPr>
        <w:t xml:space="preserve">). Determining ways to support all students at Clark College, </w:t>
      </w:r>
      <w:r w:rsidRPr="00850D9B">
        <w:rPr>
          <w:rFonts w:asciiTheme="minorHAnsi" w:hAnsiTheme="minorHAnsi"/>
          <w:sz w:val="22"/>
          <w:szCs w:val="22"/>
        </w:rPr>
        <w:t xml:space="preserve">particularly </w:t>
      </w:r>
      <w:r>
        <w:rPr>
          <w:rFonts w:asciiTheme="minorHAnsi" w:hAnsiTheme="minorHAnsi"/>
          <w:sz w:val="22"/>
          <w:szCs w:val="22"/>
        </w:rPr>
        <w:t xml:space="preserve">among </w:t>
      </w:r>
      <w:r w:rsidRPr="00850D9B">
        <w:rPr>
          <w:rFonts w:asciiTheme="minorHAnsi" w:hAnsiTheme="minorHAnsi"/>
          <w:sz w:val="22"/>
          <w:szCs w:val="22"/>
        </w:rPr>
        <w:t xml:space="preserve">historically disadvantaged groups, </w:t>
      </w:r>
      <w:r>
        <w:rPr>
          <w:rFonts w:asciiTheme="minorHAnsi" w:hAnsiTheme="minorHAnsi"/>
          <w:sz w:val="22"/>
          <w:szCs w:val="22"/>
        </w:rPr>
        <w:t xml:space="preserve">would provide students’ with increased economic opportunities and help increase educational attainment in our community. </w:t>
      </w:r>
    </w:p>
    <w:p w14:paraId="79515E8C" w14:textId="77777777" w:rsidR="00850D9B" w:rsidRDefault="00850D9B" w:rsidP="00850D9B">
      <w:pPr>
        <w:pStyle w:val="NormalWeb"/>
        <w:spacing w:before="0" w:beforeAutospacing="0" w:after="0" w:afterAutospacing="0"/>
      </w:pPr>
    </w:p>
    <w:p w14:paraId="41A5228F" w14:textId="77777777" w:rsidR="00850D9B" w:rsidRDefault="00850D9B" w:rsidP="00850D9B">
      <w:pPr>
        <w:pStyle w:val="NormalWeb"/>
        <w:spacing w:before="0" w:beforeAutospacing="0" w:after="0" w:afterAutospacing="0"/>
        <w:rPr>
          <w:rFonts w:asciiTheme="minorHAnsi" w:hAnsiTheme="minorHAnsi" w:cstheme="minorBidi"/>
          <w:color w:val="000000" w:themeColor="text1"/>
          <w:kern w:val="24"/>
          <w:sz w:val="22"/>
          <w:szCs w:val="22"/>
        </w:rPr>
      </w:pPr>
    </w:p>
    <w:p w14:paraId="772BB1F8" w14:textId="77777777" w:rsidR="003E48BA" w:rsidRDefault="003E48BA" w:rsidP="003E48BA">
      <w:pPr>
        <w:spacing w:after="0"/>
        <w:rPr>
          <w:i/>
        </w:rPr>
      </w:pPr>
      <w:r w:rsidRPr="00FA67D8">
        <w:rPr>
          <w:b/>
        </w:rPr>
        <w:t xml:space="preserve">Figure </w:t>
      </w:r>
      <w:r w:rsidR="00850D9B">
        <w:rPr>
          <w:b/>
        </w:rPr>
        <w:t>4.</w:t>
      </w:r>
      <w:r w:rsidRPr="00FA67D8">
        <w:rPr>
          <w:b/>
        </w:rPr>
        <w:t xml:space="preserve"> </w:t>
      </w:r>
      <w:r>
        <w:rPr>
          <w:b/>
        </w:rPr>
        <w:t>Completion of Degree or Certificate within Three Years</w:t>
      </w:r>
      <w:r w:rsidRPr="00FA67D8">
        <w:rPr>
          <w:b/>
        </w:rPr>
        <w:t xml:space="preserve"> by Historically Disadvantaged Groups. Among First-Term, Degree-Seeking Students Starting Fall 201</w:t>
      </w:r>
      <w:r>
        <w:rPr>
          <w:b/>
        </w:rPr>
        <w:t>1</w:t>
      </w:r>
      <w:r w:rsidRPr="00FA67D8">
        <w:rPr>
          <w:b/>
        </w:rPr>
        <w:t xml:space="preserve">. </w:t>
      </w:r>
      <w:r w:rsidRPr="00FA67D8">
        <w:rPr>
          <w:i/>
        </w:rPr>
        <w:t>Excluding Running Start students.</w:t>
      </w:r>
    </w:p>
    <w:p w14:paraId="6257781E" w14:textId="77777777" w:rsidR="00334B14" w:rsidRPr="003E48BA" w:rsidRDefault="009559D9" w:rsidP="00F84811">
      <w:pPr>
        <w:spacing w:after="200" w:line="276" w:lineRule="auto"/>
        <w:rPr>
          <w:rFonts w:ascii="Book Antiqua" w:eastAsia="Calibri" w:hAnsi="Book Antiqua" w:cs="Times New Roman"/>
        </w:rPr>
      </w:pPr>
      <w:r w:rsidRPr="009559D9">
        <w:rPr>
          <w:rFonts w:ascii="Book Antiqua" w:eastAsia="Calibri" w:hAnsi="Book Antiqua" w:cs="Times New Roman"/>
          <w:noProof/>
        </w:rPr>
        <w:drawing>
          <wp:inline distT="0" distB="0" distL="0" distR="0" wp14:anchorId="6218499C" wp14:editId="58CCC907">
            <wp:extent cx="5943600" cy="1219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334B14" w:rsidRPr="003E48BA" w:rsidSect="003E48BA">
      <w:type w:val="continuous"/>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64EF8" w14:textId="77777777" w:rsidR="00B06171" w:rsidRDefault="00B06171" w:rsidP="00255152">
      <w:pPr>
        <w:spacing w:after="0" w:line="240" w:lineRule="auto"/>
      </w:pPr>
      <w:r>
        <w:separator/>
      </w:r>
    </w:p>
  </w:endnote>
  <w:endnote w:type="continuationSeparator" w:id="0">
    <w:p w14:paraId="58CC4B69" w14:textId="77777777" w:rsidR="00B06171" w:rsidRDefault="00B06171" w:rsidP="0025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613F6" w14:textId="77777777" w:rsidR="00B06171" w:rsidRDefault="00B06171" w:rsidP="00255152">
      <w:pPr>
        <w:spacing w:after="0" w:line="240" w:lineRule="auto"/>
      </w:pPr>
      <w:r>
        <w:separator/>
      </w:r>
    </w:p>
  </w:footnote>
  <w:footnote w:type="continuationSeparator" w:id="0">
    <w:p w14:paraId="0B12DD59" w14:textId="77777777" w:rsidR="00B06171" w:rsidRDefault="00B06171" w:rsidP="00255152">
      <w:pPr>
        <w:spacing w:after="0" w:line="240" w:lineRule="auto"/>
      </w:pPr>
      <w:r>
        <w:continuationSeparator/>
      </w:r>
    </w:p>
  </w:footnote>
  <w:footnote w:id="1">
    <w:p w14:paraId="4B358A43" w14:textId="77777777" w:rsidR="00255152" w:rsidRDefault="00255152">
      <w:pPr>
        <w:pStyle w:val="FootnoteText"/>
      </w:pPr>
      <w:r>
        <w:rPr>
          <w:rStyle w:val="FootnoteReference"/>
        </w:rPr>
        <w:footnoteRef/>
      </w:r>
      <w:r>
        <w:t xml:space="preserve"> </w:t>
      </w:r>
      <w:r w:rsidRPr="00255152">
        <w:t>A Decade Behind. Georgetown University Center on Education and the Workforce, 2012</w:t>
      </w:r>
      <w:r>
        <w:t>.</w:t>
      </w:r>
    </w:p>
  </w:footnote>
  <w:footnote w:id="2">
    <w:p w14:paraId="60060AAD" w14:textId="77777777" w:rsidR="003E48BA" w:rsidRDefault="003E48BA" w:rsidP="003E48BA">
      <w:pPr>
        <w:pStyle w:val="FootnoteText"/>
      </w:pPr>
      <w:r>
        <w:rPr>
          <w:rStyle w:val="FootnoteReference"/>
        </w:rPr>
        <w:footnoteRef/>
      </w:r>
      <w:r>
        <w:t xml:space="preserve"> Ishitani, T.T. (2003). A Longitudinal approach to assessing attrition behavior among first-generation students: time-varying effects of pre-college characteristics. Research in Higher Education, 44(4), 433-449.</w:t>
      </w:r>
    </w:p>
  </w:footnote>
  <w:footnote w:id="3">
    <w:p w14:paraId="62D46816" w14:textId="77777777" w:rsidR="006A027E" w:rsidRDefault="006A027E" w:rsidP="006A027E">
      <w:pPr>
        <w:pStyle w:val="FootnoteText"/>
      </w:pPr>
      <w:r>
        <w:rPr>
          <w:rStyle w:val="FootnoteReference"/>
        </w:rPr>
        <w:footnoteRef/>
      </w:r>
      <w:r>
        <w:t xml:space="preserve"> Community College Research Center (2010). Developmental Education in Community Colleges, Teachers College, Columbia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123CA"/>
    <w:multiLevelType w:val="hybridMultilevel"/>
    <w:tmpl w:val="4E80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00BAA"/>
    <w:multiLevelType w:val="hybridMultilevel"/>
    <w:tmpl w:val="3106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05322"/>
    <w:multiLevelType w:val="hybridMultilevel"/>
    <w:tmpl w:val="F408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4D5E62"/>
    <w:multiLevelType w:val="hybridMultilevel"/>
    <w:tmpl w:val="3EFC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80693"/>
    <w:multiLevelType w:val="hybridMultilevel"/>
    <w:tmpl w:val="CC86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8240F4"/>
    <w:multiLevelType w:val="hybridMultilevel"/>
    <w:tmpl w:val="05EEE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322F3C"/>
    <w:multiLevelType w:val="hybridMultilevel"/>
    <w:tmpl w:val="D292CE7A"/>
    <w:lvl w:ilvl="0" w:tplc="7DBE58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8C37F9"/>
    <w:multiLevelType w:val="hybridMultilevel"/>
    <w:tmpl w:val="FDCA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35"/>
    <w:rsid w:val="0001172B"/>
    <w:rsid w:val="00031CBB"/>
    <w:rsid w:val="00040F4A"/>
    <w:rsid w:val="00066A79"/>
    <w:rsid w:val="000E430F"/>
    <w:rsid w:val="00124C21"/>
    <w:rsid w:val="001634AB"/>
    <w:rsid w:val="00166F2B"/>
    <w:rsid w:val="00174565"/>
    <w:rsid w:val="00190E67"/>
    <w:rsid w:val="001A6ED6"/>
    <w:rsid w:val="001B77AC"/>
    <w:rsid w:val="001D1A1B"/>
    <w:rsid w:val="001F3927"/>
    <w:rsid w:val="00213833"/>
    <w:rsid w:val="00215A84"/>
    <w:rsid w:val="0022332B"/>
    <w:rsid w:val="002411FA"/>
    <w:rsid w:val="00252250"/>
    <w:rsid w:val="00255152"/>
    <w:rsid w:val="00262460"/>
    <w:rsid w:val="0027455D"/>
    <w:rsid w:val="00291093"/>
    <w:rsid w:val="002A26D8"/>
    <w:rsid w:val="002D2A98"/>
    <w:rsid w:val="00315237"/>
    <w:rsid w:val="00320DE9"/>
    <w:rsid w:val="00334B14"/>
    <w:rsid w:val="00360C42"/>
    <w:rsid w:val="0036344A"/>
    <w:rsid w:val="00375599"/>
    <w:rsid w:val="003A5D5E"/>
    <w:rsid w:val="003E48BA"/>
    <w:rsid w:val="00432896"/>
    <w:rsid w:val="0043589E"/>
    <w:rsid w:val="004900BA"/>
    <w:rsid w:val="004B6040"/>
    <w:rsid w:val="00501733"/>
    <w:rsid w:val="00514D92"/>
    <w:rsid w:val="00524426"/>
    <w:rsid w:val="00541E29"/>
    <w:rsid w:val="00584C98"/>
    <w:rsid w:val="0059198B"/>
    <w:rsid w:val="00593486"/>
    <w:rsid w:val="00594C64"/>
    <w:rsid w:val="005B4141"/>
    <w:rsid w:val="005B6397"/>
    <w:rsid w:val="005E5A97"/>
    <w:rsid w:val="00620456"/>
    <w:rsid w:val="00627C0F"/>
    <w:rsid w:val="0063228A"/>
    <w:rsid w:val="00635C46"/>
    <w:rsid w:val="006570D8"/>
    <w:rsid w:val="00661A3A"/>
    <w:rsid w:val="00664869"/>
    <w:rsid w:val="006A027E"/>
    <w:rsid w:val="006C10C9"/>
    <w:rsid w:val="006C3B3D"/>
    <w:rsid w:val="0079111A"/>
    <w:rsid w:val="007A7820"/>
    <w:rsid w:val="007B7135"/>
    <w:rsid w:val="007C1235"/>
    <w:rsid w:val="00824434"/>
    <w:rsid w:val="00850D9B"/>
    <w:rsid w:val="00852BEB"/>
    <w:rsid w:val="008E63E1"/>
    <w:rsid w:val="008F650D"/>
    <w:rsid w:val="009559D9"/>
    <w:rsid w:val="00983DC3"/>
    <w:rsid w:val="009D4912"/>
    <w:rsid w:val="00A16516"/>
    <w:rsid w:val="00A2280D"/>
    <w:rsid w:val="00A26BFF"/>
    <w:rsid w:val="00A40C30"/>
    <w:rsid w:val="00A511F6"/>
    <w:rsid w:val="00A90182"/>
    <w:rsid w:val="00A97A3E"/>
    <w:rsid w:val="00AD0CB4"/>
    <w:rsid w:val="00AD534E"/>
    <w:rsid w:val="00B05FEB"/>
    <w:rsid w:val="00B06171"/>
    <w:rsid w:val="00B267E1"/>
    <w:rsid w:val="00B57599"/>
    <w:rsid w:val="00B66987"/>
    <w:rsid w:val="00B66BAE"/>
    <w:rsid w:val="00BA1ADA"/>
    <w:rsid w:val="00BB4064"/>
    <w:rsid w:val="00BD0715"/>
    <w:rsid w:val="00BE7BA1"/>
    <w:rsid w:val="00C12A2A"/>
    <w:rsid w:val="00C17A0A"/>
    <w:rsid w:val="00C21224"/>
    <w:rsid w:val="00C34C4B"/>
    <w:rsid w:val="00C46BD8"/>
    <w:rsid w:val="00C5555F"/>
    <w:rsid w:val="00C721E8"/>
    <w:rsid w:val="00CC6A26"/>
    <w:rsid w:val="00CE3A15"/>
    <w:rsid w:val="00CF2260"/>
    <w:rsid w:val="00CF546D"/>
    <w:rsid w:val="00D05EB3"/>
    <w:rsid w:val="00D07447"/>
    <w:rsid w:val="00DC4C35"/>
    <w:rsid w:val="00DE5278"/>
    <w:rsid w:val="00E1714A"/>
    <w:rsid w:val="00E35C99"/>
    <w:rsid w:val="00E520C2"/>
    <w:rsid w:val="00E6621D"/>
    <w:rsid w:val="00E75ACB"/>
    <w:rsid w:val="00F151EE"/>
    <w:rsid w:val="00F30D0D"/>
    <w:rsid w:val="00F43BD8"/>
    <w:rsid w:val="00F569B9"/>
    <w:rsid w:val="00F60B97"/>
    <w:rsid w:val="00F61935"/>
    <w:rsid w:val="00F675DB"/>
    <w:rsid w:val="00F722FF"/>
    <w:rsid w:val="00F75C5D"/>
    <w:rsid w:val="00F77A04"/>
    <w:rsid w:val="00F80D9D"/>
    <w:rsid w:val="00F84811"/>
    <w:rsid w:val="00F904A3"/>
    <w:rsid w:val="00FA67D8"/>
    <w:rsid w:val="00FE2189"/>
    <w:rsid w:val="00FF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1273"/>
  <w15:chartTrackingRefBased/>
  <w15:docId w15:val="{BB5E750D-B4CD-4321-9BFF-89196608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12A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559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BA1AD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1935"/>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360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551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5152"/>
    <w:rPr>
      <w:sz w:val="20"/>
      <w:szCs w:val="20"/>
    </w:rPr>
  </w:style>
  <w:style w:type="character" w:styleId="EndnoteReference">
    <w:name w:val="endnote reference"/>
    <w:basedOn w:val="DefaultParagraphFont"/>
    <w:uiPriority w:val="99"/>
    <w:semiHidden/>
    <w:unhideWhenUsed/>
    <w:rsid w:val="00255152"/>
    <w:rPr>
      <w:vertAlign w:val="superscript"/>
    </w:rPr>
  </w:style>
  <w:style w:type="paragraph" w:styleId="FootnoteText">
    <w:name w:val="footnote text"/>
    <w:basedOn w:val="Normal"/>
    <w:link w:val="FootnoteTextChar"/>
    <w:uiPriority w:val="99"/>
    <w:semiHidden/>
    <w:unhideWhenUsed/>
    <w:rsid w:val="002551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152"/>
    <w:rPr>
      <w:sz w:val="20"/>
      <w:szCs w:val="20"/>
    </w:rPr>
  </w:style>
  <w:style w:type="character" w:styleId="FootnoteReference">
    <w:name w:val="footnote reference"/>
    <w:basedOn w:val="DefaultParagraphFont"/>
    <w:uiPriority w:val="99"/>
    <w:semiHidden/>
    <w:unhideWhenUsed/>
    <w:rsid w:val="00255152"/>
    <w:rPr>
      <w:vertAlign w:val="superscript"/>
    </w:rPr>
  </w:style>
  <w:style w:type="character" w:customStyle="1" w:styleId="Heading2Char">
    <w:name w:val="Heading 2 Char"/>
    <w:basedOn w:val="DefaultParagraphFont"/>
    <w:link w:val="Heading2"/>
    <w:uiPriority w:val="9"/>
    <w:rsid w:val="00C12A2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900BA"/>
    <w:pPr>
      <w:ind w:left="720"/>
      <w:contextualSpacing/>
    </w:pPr>
  </w:style>
  <w:style w:type="character" w:customStyle="1" w:styleId="Heading5Char">
    <w:name w:val="Heading 5 Char"/>
    <w:basedOn w:val="DefaultParagraphFont"/>
    <w:link w:val="Heading5"/>
    <w:uiPriority w:val="9"/>
    <w:semiHidden/>
    <w:rsid w:val="00BA1ADA"/>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1D1A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A1B"/>
    <w:rPr>
      <w:rFonts w:ascii="Segoe UI" w:hAnsi="Segoe UI" w:cs="Segoe UI"/>
      <w:sz w:val="18"/>
      <w:szCs w:val="18"/>
    </w:rPr>
  </w:style>
  <w:style w:type="character" w:customStyle="1" w:styleId="Heading3Char">
    <w:name w:val="Heading 3 Char"/>
    <w:basedOn w:val="DefaultParagraphFont"/>
    <w:link w:val="Heading3"/>
    <w:uiPriority w:val="9"/>
    <w:semiHidden/>
    <w:rsid w:val="009559D9"/>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570D8"/>
    <w:rPr>
      <w:sz w:val="16"/>
      <w:szCs w:val="16"/>
    </w:rPr>
  </w:style>
  <w:style w:type="paragraph" w:styleId="CommentText">
    <w:name w:val="annotation text"/>
    <w:basedOn w:val="Normal"/>
    <w:link w:val="CommentTextChar"/>
    <w:uiPriority w:val="99"/>
    <w:semiHidden/>
    <w:unhideWhenUsed/>
    <w:rsid w:val="006570D8"/>
    <w:pPr>
      <w:spacing w:line="240" w:lineRule="auto"/>
    </w:pPr>
    <w:rPr>
      <w:sz w:val="20"/>
      <w:szCs w:val="20"/>
    </w:rPr>
  </w:style>
  <w:style w:type="character" w:customStyle="1" w:styleId="CommentTextChar">
    <w:name w:val="Comment Text Char"/>
    <w:basedOn w:val="DefaultParagraphFont"/>
    <w:link w:val="CommentText"/>
    <w:uiPriority w:val="99"/>
    <w:semiHidden/>
    <w:rsid w:val="006570D8"/>
    <w:rPr>
      <w:sz w:val="20"/>
      <w:szCs w:val="20"/>
    </w:rPr>
  </w:style>
  <w:style w:type="paragraph" w:styleId="CommentSubject">
    <w:name w:val="annotation subject"/>
    <w:basedOn w:val="CommentText"/>
    <w:next w:val="CommentText"/>
    <w:link w:val="CommentSubjectChar"/>
    <w:uiPriority w:val="99"/>
    <w:semiHidden/>
    <w:unhideWhenUsed/>
    <w:rsid w:val="006570D8"/>
    <w:rPr>
      <w:b/>
      <w:bCs/>
    </w:rPr>
  </w:style>
  <w:style w:type="character" w:customStyle="1" w:styleId="CommentSubjectChar">
    <w:name w:val="Comment Subject Char"/>
    <w:basedOn w:val="CommentTextChar"/>
    <w:link w:val="CommentSubject"/>
    <w:uiPriority w:val="99"/>
    <w:semiHidden/>
    <w:rsid w:val="006570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348383">
      <w:bodyDiv w:val="1"/>
      <w:marLeft w:val="0"/>
      <w:marRight w:val="0"/>
      <w:marTop w:val="0"/>
      <w:marBottom w:val="0"/>
      <w:divBdr>
        <w:top w:val="none" w:sz="0" w:space="0" w:color="auto"/>
        <w:left w:val="none" w:sz="0" w:space="0" w:color="auto"/>
        <w:bottom w:val="none" w:sz="0" w:space="0" w:color="auto"/>
        <w:right w:val="none" w:sz="0" w:space="0" w:color="auto"/>
      </w:divBdr>
    </w:div>
    <w:div w:id="1064063249">
      <w:bodyDiv w:val="1"/>
      <w:marLeft w:val="0"/>
      <w:marRight w:val="0"/>
      <w:marTop w:val="0"/>
      <w:marBottom w:val="0"/>
      <w:divBdr>
        <w:top w:val="none" w:sz="0" w:space="0" w:color="auto"/>
        <w:left w:val="none" w:sz="0" w:space="0" w:color="auto"/>
        <w:bottom w:val="none" w:sz="0" w:space="0" w:color="auto"/>
        <w:right w:val="none" w:sz="0" w:space="0" w:color="auto"/>
      </w:divBdr>
    </w:div>
    <w:div w:id="1152022006">
      <w:bodyDiv w:val="1"/>
      <w:marLeft w:val="0"/>
      <w:marRight w:val="0"/>
      <w:marTop w:val="0"/>
      <w:marBottom w:val="0"/>
      <w:divBdr>
        <w:top w:val="none" w:sz="0" w:space="0" w:color="auto"/>
        <w:left w:val="none" w:sz="0" w:space="0" w:color="auto"/>
        <w:bottom w:val="none" w:sz="0" w:space="0" w:color="auto"/>
        <w:right w:val="none" w:sz="0" w:space="0" w:color="auto"/>
      </w:divBdr>
    </w:div>
    <w:div w:id="1164971643">
      <w:bodyDiv w:val="1"/>
      <w:marLeft w:val="0"/>
      <w:marRight w:val="0"/>
      <w:marTop w:val="0"/>
      <w:marBottom w:val="0"/>
      <w:divBdr>
        <w:top w:val="none" w:sz="0" w:space="0" w:color="auto"/>
        <w:left w:val="none" w:sz="0" w:space="0" w:color="auto"/>
        <w:bottom w:val="none" w:sz="0" w:space="0" w:color="auto"/>
        <w:right w:val="none" w:sz="0" w:space="0" w:color="auto"/>
      </w:divBdr>
    </w:div>
    <w:div w:id="1407874859">
      <w:bodyDiv w:val="1"/>
      <w:marLeft w:val="0"/>
      <w:marRight w:val="0"/>
      <w:marTop w:val="0"/>
      <w:marBottom w:val="0"/>
      <w:divBdr>
        <w:top w:val="none" w:sz="0" w:space="0" w:color="auto"/>
        <w:left w:val="none" w:sz="0" w:space="0" w:color="auto"/>
        <w:bottom w:val="none" w:sz="0" w:space="0" w:color="auto"/>
        <w:right w:val="none" w:sz="0" w:space="0" w:color="auto"/>
      </w:divBdr>
    </w:div>
    <w:div w:id="1554586219">
      <w:bodyDiv w:val="1"/>
      <w:marLeft w:val="0"/>
      <w:marRight w:val="0"/>
      <w:marTop w:val="0"/>
      <w:marBottom w:val="0"/>
      <w:divBdr>
        <w:top w:val="none" w:sz="0" w:space="0" w:color="auto"/>
        <w:left w:val="none" w:sz="0" w:space="0" w:color="auto"/>
        <w:bottom w:val="none" w:sz="0" w:space="0" w:color="auto"/>
        <w:right w:val="none" w:sz="0" w:space="0" w:color="auto"/>
      </w:divBdr>
    </w:div>
    <w:div w:id="1830053771">
      <w:bodyDiv w:val="1"/>
      <w:marLeft w:val="0"/>
      <w:marRight w:val="0"/>
      <w:marTop w:val="0"/>
      <w:marBottom w:val="0"/>
      <w:divBdr>
        <w:top w:val="none" w:sz="0" w:space="0" w:color="auto"/>
        <w:left w:val="none" w:sz="0" w:space="0" w:color="auto"/>
        <w:bottom w:val="none" w:sz="0" w:space="0" w:color="auto"/>
        <w:right w:val="none" w:sz="0" w:space="0" w:color="auto"/>
      </w:divBdr>
    </w:div>
    <w:div w:id="20741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618403581905204"/>
          <c:y val="5.7068741893644616E-2"/>
          <c:w val="0.61346302300447741"/>
          <c:h val="0.82257708058866186"/>
        </c:manualLayout>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dLbl>
              <c:idx val="0"/>
              <c:tx>
                <c:rich>
                  <a:bodyPr/>
                  <a:lstStyle/>
                  <a:p>
                    <a:fld id="{5D6C84E6-8F6D-43BD-BD28-3DB178BD4EDA}"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42671146-2CCA-4680-822A-369F9A666A19}"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C44D2902-1095-4A6C-824A-67E2C6D39004}"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994ACD5F-B28F-4F46-AEC0-617A3C3ECD0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Students with 
a Disability</c:v>
                </c:pt>
                <c:pt idx="1">
                  <c:v>Students 
of Color</c:v>
                </c:pt>
                <c:pt idx="2">
                  <c:v>Low Income 
Students</c:v>
                </c:pt>
                <c:pt idx="3">
                  <c:v>First Generation 
Students</c:v>
                </c:pt>
              </c:strCache>
            </c:strRef>
          </c:cat>
          <c:val>
            <c:numRef>
              <c:f>Sheet1!$B$2:$B$5</c:f>
              <c:numCache>
                <c:formatCode>General</c:formatCode>
                <c:ptCount val="4"/>
                <c:pt idx="0">
                  <c:v>4.8</c:v>
                </c:pt>
                <c:pt idx="1">
                  <c:v>28.4</c:v>
                </c:pt>
                <c:pt idx="2">
                  <c:v>44.3</c:v>
                </c:pt>
                <c:pt idx="3">
                  <c:v>62.7</c:v>
                </c:pt>
              </c:numCache>
            </c:numRef>
          </c:val>
        </c:ser>
        <c:dLbls>
          <c:showLegendKey val="0"/>
          <c:showVal val="0"/>
          <c:showCatName val="0"/>
          <c:showSerName val="0"/>
          <c:showPercent val="0"/>
          <c:showBubbleSize val="0"/>
        </c:dLbls>
        <c:gapWidth val="24"/>
        <c:axId val="250880856"/>
        <c:axId val="250885952"/>
      </c:barChart>
      <c:catAx>
        <c:axId val="250880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crossAx val="250885952"/>
        <c:crosses val="autoZero"/>
        <c:auto val="1"/>
        <c:lblAlgn val="ctr"/>
        <c:lblOffset val="100"/>
        <c:noMultiLvlLbl val="0"/>
      </c:catAx>
      <c:valAx>
        <c:axId val="250885952"/>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880856"/>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561612490746355E-3"/>
          <c:y val="1.8046711552360303E-2"/>
          <c:w val="0.9926129956188936"/>
          <c:h val="0.98195328844763974"/>
        </c:manualLayout>
      </c:layout>
      <c:doughnut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tx>
                <c:rich>
                  <a:bodyPr/>
                  <a:lstStyle/>
                  <a:p>
                    <a:fld id="{039D32E3-78B2-45BB-ACD2-1166C865944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32%</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fld id="{35DC985F-D7D2-4D9F-B18C-7312AED80D5F}"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No Groups</c:v>
                </c:pt>
                <c:pt idx="1">
                  <c:v>1 Group</c:v>
                </c:pt>
                <c:pt idx="2">
                  <c:v>2 Groups</c:v>
                </c:pt>
                <c:pt idx="3">
                  <c:v>3+ Groups</c:v>
                </c:pt>
              </c:strCache>
            </c:strRef>
          </c:cat>
          <c:val>
            <c:numRef>
              <c:f>Sheet1!$B$2:$B$5</c:f>
              <c:numCache>
                <c:formatCode>General</c:formatCode>
                <c:ptCount val="4"/>
                <c:pt idx="0">
                  <c:v>21</c:v>
                </c:pt>
                <c:pt idx="1">
                  <c:v>33</c:v>
                </c:pt>
                <c:pt idx="2">
                  <c:v>32</c:v>
                </c:pt>
                <c:pt idx="3">
                  <c:v>14</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manualLayout>
          <c:xMode val="edge"/>
          <c:yMode val="edge"/>
          <c:x val="0.30909733241519716"/>
          <c:y val="0.30631252615162236"/>
          <c:w val="0.35389763779527561"/>
          <c:h val="0.394425724717371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764078540815306E-2"/>
          <c:y val="6.9364161849710976E-2"/>
          <c:w val="0.90302917040433239"/>
          <c:h val="0.56317266700044"/>
        </c:manualLayout>
      </c:layout>
      <c:barChart>
        <c:barDir val="col"/>
        <c:grouping val="clustered"/>
        <c:varyColors val="0"/>
        <c:ser>
          <c:idx val="0"/>
          <c:order val="0"/>
          <c:tx>
            <c:strRef>
              <c:f>Sheet1!$B$1</c:f>
              <c:strCache>
                <c:ptCount val="1"/>
                <c:pt idx="0">
                  <c:v>No Historically Disadvantaged Groups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Pre-College Math Placement</c:v>
                </c:pt>
                <c:pt idx="1">
                  <c:v>Pre-College Writing Placement</c:v>
                </c:pt>
                <c:pt idx="2">
                  <c:v>Pre-College Reading Placement</c:v>
                </c:pt>
              </c:strCache>
            </c:strRef>
          </c:cat>
          <c:val>
            <c:numRef>
              <c:f>Sheet1!$B$2:$B$4</c:f>
              <c:numCache>
                <c:formatCode>0%</c:formatCode>
                <c:ptCount val="3"/>
                <c:pt idx="0">
                  <c:v>0.71923076923076923</c:v>
                </c:pt>
                <c:pt idx="1">
                  <c:v>0.25597269624573377</c:v>
                </c:pt>
                <c:pt idx="2">
                  <c:v>7.4803149606299218E-2</c:v>
                </c:pt>
              </c:numCache>
            </c:numRef>
          </c:val>
        </c:ser>
        <c:ser>
          <c:idx val="1"/>
          <c:order val="1"/>
          <c:tx>
            <c:strRef>
              <c:f>Sheet1!$C$1</c:f>
              <c:strCache>
                <c:ptCount val="1"/>
                <c:pt idx="0">
                  <c:v>1 Group</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Pre-College Math Placement</c:v>
                </c:pt>
                <c:pt idx="1">
                  <c:v>Pre-College Writing Placement</c:v>
                </c:pt>
                <c:pt idx="2">
                  <c:v>Pre-College Reading Placement</c:v>
                </c:pt>
              </c:strCache>
            </c:strRef>
          </c:cat>
          <c:val>
            <c:numRef>
              <c:f>Sheet1!$C$2:$C$4</c:f>
              <c:numCache>
                <c:formatCode>0%</c:formatCode>
                <c:ptCount val="3"/>
                <c:pt idx="0">
                  <c:v>0.76595744680851063</c:v>
                </c:pt>
                <c:pt idx="1">
                  <c:v>0.30041152263374488</c:v>
                </c:pt>
                <c:pt idx="2">
                  <c:v>9.8591549295774641E-2</c:v>
                </c:pt>
              </c:numCache>
            </c:numRef>
          </c:val>
        </c:ser>
        <c:ser>
          <c:idx val="2"/>
          <c:order val="2"/>
          <c:tx>
            <c:strRef>
              <c:f>Sheet1!$D$1</c:f>
              <c:strCache>
                <c:ptCount val="1"/>
                <c:pt idx="0">
                  <c:v>2 Groups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Pre-College Math Placement</c:v>
                </c:pt>
                <c:pt idx="1">
                  <c:v>Pre-College Writing Placement</c:v>
                </c:pt>
                <c:pt idx="2">
                  <c:v>Pre-College Reading Placement</c:v>
                </c:pt>
              </c:strCache>
            </c:strRef>
          </c:cat>
          <c:val>
            <c:numRef>
              <c:f>Sheet1!$D$2:$D$4</c:f>
              <c:numCache>
                <c:formatCode>0%</c:formatCode>
                <c:ptCount val="3"/>
                <c:pt idx="0">
                  <c:v>0.85545023696682465</c:v>
                </c:pt>
                <c:pt idx="1">
                  <c:v>0.35607675906183367</c:v>
                </c:pt>
                <c:pt idx="2">
                  <c:v>0.17551963048498845</c:v>
                </c:pt>
              </c:numCache>
            </c:numRef>
          </c:val>
        </c:ser>
        <c:ser>
          <c:idx val="3"/>
          <c:order val="3"/>
          <c:tx>
            <c:strRef>
              <c:f>Sheet1!$E$1</c:f>
              <c:strCache>
                <c:ptCount val="1"/>
                <c:pt idx="0">
                  <c:v>3+ Groups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Pre-College Math Placement</c:v>
                </c:pt>
                <c:pt idx="1">
                  <c:v>Pre-College Writing Placement</c:v>
                </c:pt>
                <c:pt idx="2">
                  <c:v>Pre-College Reading Placement</c:v>
                </c:pt>
              </c:strCache>
            </c:strRef>
          </c:cat>
          <c:val>
            <c:numRef>
              <c:f>Sheet1!$E$2:$E$4</c:f>
              <c:numCache>
                <c:formatCode>0%</c:formatCode>
                <c:ptCount val="3"/>
                <c:pt idx="0">
                  <c:v>0.9101123595505618</c:v>
                </c:pt>
                <c:pt idx="1">
                  <c:v>0.4682926829268293</c:v>
                </c:pt>
                <c:pt idx="2">
                  <c:v>0.23333333333333334</c:v>
                </c:pt>
              </c:numCache>
            </c:numRef>
          </c:val>
        </c:ser>
        <c:dLbls>
          <c:showLegendKey val="0"/>
          <c:showVal val="0"/>
          <c:showCatName val="0"/>
          <c:showSerName val="0"/>
          <c:showPercent val="0"/>
          <c:showBubbleSize val="0"/>
        </c:dLbls>
        <c:gapWidth val="30"/>
        <c:overlap val="12"/>
        <c:axId val="201689576"/>
        <c:axId val="252144632"/>
      </c:barChart>
      <c:catAx>
        <c:axId val="201689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crossAx val="252144632"/>
        <c:crosses val="autoZero"/>
        <c:auto val="1"/>
        <c:lblAlgn val="ctr"/>
        <c:lblOffset val="100"/>
        <c:noMultiLvlLbl val="0"/>
      </c:catAx>
      <c:valAx>
        <c:axId val="252144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689576"/>
        <c:crosses val="autoZero"/>
        <c:crossBetween val="between"/>
      </c:valAx>
      <c:spPr>
        <a:noFill/>
        <a:ln>
          <a:noFill/>
        </a:ln>
        <a:effectLst/>
      </c:spPr>
    </c:plotArea>
    <c:legend>
      <c:legendPos val="b"/>
      <c:layout>
        <c:manualLayout>
          <c:xMode val="edge"/>
          <c:yMode val="edge"/>
          <c:x val="8.2920196684275221E-2"/>
          <c:y val="0.81740476082108238"/>
          <c:w val="0.8341596066314495"/>
          <c:h val="0.14405959370685603"/>
        </c:manualLayout>
      </c:layout>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Sheet1!$B$1</c:f>
              <c:strCache>
                <c:ptCount val="1"/>
                <c:pt idx="0">
                  <c:v>Series 1</c:v>
                </c:pt>
              </c:strCache>
            </c:strRef>
          </c:tx>
          <c:invertIfNegative val="0"/>
          <c:dPt>
            <c:idx val="0"/>
            <c:invertIfNegative val="0"/>
            <c:bubble3D val="0"/>
            <c:spPr>
              <a:solidFill>
                <a:schemeClr val="accent1"/>
              </a:solidFill>
              <a:ln>
                <a:noFill/>
              </a:ln>
              <a:effectLst/>
            </c:spPr>
          </c:dPt>
          <c:dPt>
            <c:idx val="1"/>
            <c:invertIfNegative val="0"/>
            <c:bubble3D val="0"/>
            <c:spPr>
              <a:solidFill>
                <a:schemeClr val="accent2"/>
              </a:solidFill>
              <a:ln>
                <a:noFill/>
              </a:ln>
              <a:effectLst/>
            </c:spPr>
          </c:dPt>
          <c:dPt>
            <c:idx val="2"/>
            <c:invertIfNegative val="0"/>
            <c:bubble3D val="0"/>
            <c:spPr>
              <a:solidFill>
                <a:schemeClr val="accent3"/>
              </a:solidFill>
              <a:ln>
                <a:noFill/>
              </a:ln>
              <a:effectLst/>
            </c:spPr>
          </c:dPt>
          <c:dPt>
            <c:idx val="3"/>
            <c:invertIfNegative val="0"/>
            <c:bubble3D val="0"/>
            <c:spPr>
              <a:solidFill>
                <a:schemeClr val="accent4"/>
              </a:solidFill>
              <a:ln>
                <a:noFill/>
              </a:ln>
              <a:effectLst/>
            </c:spPr>
          </c:dPt>
          <c:dPt>
            <c:idx val="4"/>
            <c:invertIfNegative val="0"/>
            <c:bubble3D val="0"/>
            <c:spPr>
              <a:solidFill>
                <a:schemeClr val="accent5"/>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Overall</c:v>
                </c:pt>
                <c:pt idx="1">
                  <c:v>First Generation Students</c:v>
                </c:pt>
                <c:pt idx="2">
                  <c:v>Low Income Students</c:v>
                </c:pt>
                <c:pt idx="3">
                  <c:v>Students of Color</c:v>
                </c:pt>
                <c:pt idx="4">
                  <c:v>Students with Disabilities</c:v>
                </c:pt>
              </c:strCache>
            </c:strRef>
          </c:cat>
          <c:val>
            <c:numRef>
              <c:f>Sheet1!$B$2:$B$6</c:f>
              <c:numCache>
                <c:formatCode>0%</c:formatCode>
                <c:ptCount val="5"/>
                <c:pt idx="0">
                  <c:v>0.27116486314449395</c:v>
                </c:pt>
                <c:pt idx="1">
                  <c:v>0.29006085192697767</c:v>
                </c:pt>
                <c:pt idx="2">
                  <c:v>0.39726027397260272</c:v>
                </c:pt>
                <c:pt idx="3">
                  <c:v>0.30786516853932583</c:v>
                </c:pt>
                <c:pt idx="4">
                  <c:v>0.29454022988505746</c:v>
                </c:pt>
              </c:numCache>
            </c:numRef>
          </c:val>
        </c:ser>
        <c:dLbls>
          <c:showLegendKey val="0"/>
          <c:showVal val="0"/>
          <c:showCatName val="0"/>
          <c:showSerName val="0"/>
          <c:showPercent val="0"/>
          <c:showBubbleSize val="0"/>
        </c:dLbls>
        <c:gapWidth val="22"/>
        <c:overlap val="-27"/>
        <c:axId val="252143848"/>
        <c:axId val="252144240"/>
      </c:barChart>
      <c:catAx>
        <c:axId val="252143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252144240"/>
        <c:crosses val="autoZero"/>
        <c:auto val="1"/>
        <c:lblAlgn val="ctr"/>
        <c:lblOffset val="100"/>
        <c:noMultiLvlLbl val="0"/>
      </c:catAx>
      <c:valAx>
        <c:axId val="252144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1438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125344908809482E-2"/>
          <c:y val="3.9800867282893983E-2"/>
          <c:w val="0.89887040682414743"/>
          <c:h val="0.71097797557913955"/>
        </c:manualLayout>
      </c:layout>
      <c:barChart>
        <c:barDir val="col"/>
        <c:grouping val="clustered"/>
        <c:varyColors val="1"/>
        <c:ser>
          <c:idx val="0"/>
          <c:order val="0"/>
          <c:tx>
            <c:strRef>
              <c:f>Sheet1!$B$1</c:f>
              <c:strCache>
                <c:ptCount val="1"/>
                <c:pt idx="0">
                  <c:v>Series 1</c:v>
                </c:pt>
              </c:strCache>
            </c:strRef>
          </c:tx>
          <c:invertIfNegative val="0"/>
          <c:dPt>
            <c:idx val="1"/>
            <c:invertIfNegative val="0"/>
            <c:bubble3D val="0"/>
          </c:dPt>
          <c:dPt>
            <c:idx val="4"/>
            <c:invertIfNegative val="0"/>
            <c:bubble3D val="0"/>
          </c:dPt>
          <c:dLbls>
            <c:spPr>
              <a:noFill/>
              <a:ln>
                <a:noFill/>
              </a:ln>
              <a:effectLst/>
            </c:spPr>
            <c:txPr>
              <a:bodyPr/>
              <a:lstStyle/>
              <a:p>
                <a:pPr>
                  <a:defRPr sz="1100" b="1">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Overall</c:v>
                </c:pt>
                <c:pt idx="1">
                  <c:v>Students of Color</c:v>
                </c:pt>
                <c:pt idx="2">
                  <c:v>Students with Disabilities</c:v>
                </c:pt>
                <c:pt idx="3">
                  <c:v>First Generation Students</c:v>
                </c:pt>
                <c:pt idx="4">
                  <c:v>Low Income Students</c:v>
                </c:pt>
              </c:strCache>
            </c:strRef>
          </c:cat>
          <c:val>
            <c:numRef>
              <c:f>Sheet1!$B$2:$B$6</c:f>
              <c:numCache>
                <c:formatCode>0.0%</c:formatCode>
                <c:ptCount val="5"/>
                <c:pt idx="0">
                  <c:v>0.122</c:v>
                </c:pt>
                <c:pt idx="1">
                  <c:v>0.105</c:v>
                </c:pt>
                <c:pt idx="2">
                  <c:v>5.5E-2</c:v>
                </c:pt>
                <c:pt idx="3">
                  <c:v>0.11799999999999999</c:v>
                </c:pt>
                <c:pt idx="4">
                  <c:v>0.114</c:v>
                </c:pt>
              </c:numCache>
            </c:numRef>
          </c:val>
        </c:ser>
        <c:dLbls>
          <c:showLegendKey val="0"/>
          <c:showVal val="0"/>
          <c:showCatName val="0"/>
          <c:showSerName val="0"/>
          <c:showPercent val="0"/>
          <c:showBubbleSize val="0"/>
        </c:dLbls>
        <c:gapWidth val="20"/>
        <c:axId val="252146984"/>
        <c:axId val="252145808"/>
      </c:barChart>
      <c:catAx>
        <c:axId val="252146984"/>
        <c:scaling>
          <c:orientation val="minMax"/>
        </c:scaling>
        <c:delete val="0"/>
        <c:axPos val="b"/>
        <c:numFmt formatCode="General" sourceLinked="1"/>
        <c:majorTickMark val="out"/>
        <c:minorTickMark val="none"/>
        <c:tickLblPos val="nextTo"/>
        <c:txPr>
          <a:bodyPr/>
          <a:lstStyle/>
          <a:p>
            <a:pPr>
              <a:defRPr sz="1000" b="1"/>
            </a:pPr>
            <a:endParaRPr lang="en-US"/>
          </a:p>
        </c:txPr>
        <c:crossAx val="252145808"/>
        <c:crosses val="autoZero"/>
        <c:auto val="1"/>
        <c:lblAlgn val="ctr"/>
        <c:lblOffset val="100"/>
        <c:noMultiLvlLbl val="0"/>
      </c:catAx>
      <c:valAx>
        <c:axId val="252145808"/>
        <c:scaling>
          <c:orientation val="minMax"/>
          <c:max val="0.5"/>
          <c:min val="0"/>
        </c:scaling>
        <c:delete val="0"/>
        <c:axPos val="l"/>
        <c:majorGridlines>
          <c:spPr>
            <a:ln>
              <a:solidFill>
                <a:schemeClr val="bg1">
                  <a:lumMod val="85000"/>
                </a:schemeClr>
              </a:solidFill>
            </a:ln>
          </c:spPr>
        </c:majorGridlines>
        <c:numFmt formatCode="0%" sourceLinked="0"/>
        <c:majorTickMark val="out"/>
        <c:minorTickMark val="none"/>
        <c:tickLblPos val="nextTo"/>
        <c:txPr>
          <a:bodyPr/>
          <a:lstStyle/>
          <a:p>
            <a:pPr>
              <a:defRPr sz="900"/>
            </a:pPr>
            <a:endParaRPr lang="en-US"/>
          </a:p>
        </c:txPr>
        <c:crossAx val="252146984"/>
        <c:crosses val="autoZero"/>
        <c:crossBetween val="between"/>
        <c:majorUnit val="0.1"/>
      </c:valAx>
    </c:plotArea>
    <c:plotVisOnly val="1"/>
    <c:dispBlanksAs val="gap"/>
    <c:showDLblsOverMax val="0"/>
  </c:chart>
  <c:spPr>
    <a:noFill/>
    <a:ln>
      <a:noFill/>
    </a:ln>
  </c:spPr>
  <c:txPr>
    <a:bodyPr/>
    <a:lstStyle/>
    <a:p>
      <a:pPr algn="just">
        <a:defRPr sz="1800"/>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Nor03</b:Tag>
    <b:SourceType>BookSection</b:SourceType>
    <b:Guid>{E028A23E-A3F5-43A0-A62B-4C56C70A0935}</b:Guid>
    <b:Author>
      <b:Author>
        <b:NameList>
          <b:Person>
            <b:Last>Robinson-Armstrong</b:Last>
            <b:First>Abbie</b:First>
          </b:Person>
        </b:NameList>
      </b:Author>
      <b:Editor>
        <b:NameList>
          <b:Person>
            <b:Last>Van Kollenburg</b:Last>
            <b:First>Susan</b:First>
            <b:Middle>E.</b:Middle>
          </b:Person>
        </b:NameList>
      </b:Editor>
      <b:BookAuthor>
        <b:NameList>
          <b:Person>
            <b:Last>Schools</b:Last>
            <b:First>North</b:First>
            <b:Middle>Central Association of Colleges and</b:Middle>
          </b:Person>
        </b:NameList>
      </b:BookAuthor>
    </b:Author>
    <b:Title>Benefits of a Diverse Faculty: A Review of the Literature</b:Title>
    <b:PeriodicalTitle>North Central Association of Colleges and Schools</b:PeriodicalTitle>
    <b:Year>2010</b:Year>
    <b:City>Chicago</b:City>
    <b:StateProvince>IL</b:StateProvince>
    <b:Volume>3</b:Volume>
    <b:Edition>26</b:Edition>
    <b:YearAccessed>2014</b:YearAccessed>
    <b:MonthAccessed>May</b:MonthAccessed>
    <b:DayAccessed>13</b:DayAccessed>
    <b:URL>http://tinyurl.com/ltp3hjg</b:URL>
    <b:BookTitle>A Collection of Papers on Self-Study and Institutional Improvement</b:BookTitle>
    <b:RefOrder>2</b:RefOrder>
  </b:Source>
</b:Sources>
</file>

<file path=customXml/itemProps1.xml><?xml version="1.0" encoding="utf-8"?>
<ds:datastoreItem xmlns:ds="http://schemas.openxmlformats.org/officeDocument/2006/customXml" ds:itemID="{BFF35273-F61B-469D-8726-A71E83DB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Julie</dc:creator>
  <cp:keywords/>
  <dc:description/>
  <cp:lastModifiedBy>Leedy, Lorraine</cp:lastModifiedBy>
  <cp:revision>2</cp:revision>
  <cp:lastPrinted>2015-01-28T20:18:00Z</cp:lastPrinted>
  <dcterms:created xsi:type="dcterms:W3CDTF">2015-04-10T18:19:00Z</dcterms:created>
  <dcterms:modified xsi:type="dcterms:W3CDTF">2015-04-10T18:19:00Z</dcterms:modified>
</cp:coreProperties>
</file>