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Worker Retraining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October 16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 xml:space="preserve">,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2018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11:30 a.m.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</w:t>
                            </w:r>
                            <w:r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E4085C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Worker Retraining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October 16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 xml:space="preserve">,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2018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11:30 a.m.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</w:t>
                      </w:r>
                      <w:r w:rsidRPr="00A348C7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E4085C" w:rsidRPr="00A348C7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48C7">
                              <w:t xml:space="preserve"> Increase in WRT Funding / Program Update</w:t>
                            </w:r>
                          </w:p>
                          <w:p w:rsidR="009A4A5B" w:rsidRDefault="009A4A5B" w:rsidP="00F73761">
                            <w:r>
                              <w:t xml:space="preserve">&amp; </w:t>
                            </w:r>
                            <w:bookmarkStart w:id="0" w:name="_GoBack"/>
                            <w:bookmarkEnd w:id="0"/>
                            <w:r>
                              <w:t>Summer Conference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A348C7">
                              <w:t xml:space="preserve"> Allocations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48C7">
                        <w:t xml:space="preserve"> Increase in WRT Funding / Program Update</w:t>
                      </w:r>
                    </w:p>
                    <w:p w:rsidR="009A4A5B" w:rsidRDefault="009A4A5B" w:rsidP="00F73761">
                      <w:r>
                        <w:t xml:space="preserve">&amp; </w:t>
                      </w:r>
                      <w:bookmarkStart w:id="1" w:name="_GoBack"/>
                      <w:bookmarkEnd w:id="1"/>
                      <w:r>
                        <w:t>Summer Conference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A348C7">
                        <w:t xml:space="preserve"> Allocations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A348C7">
                              <w:t xml:space="preserve"> Election of Officers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A348C7">
                        <w:t xml:space="preserve"> Election of Officers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48C7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48C7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43CCF"/>
    <w:rsid w:val="00692D39"/>
    <w:rsid w:val="006D76E1"/>
    <w:rsid w:val="006F2E5B"/>
    <w:rsid w:val="00975D36"/>
    <w:rsid w:val="009A4A5B"/>
    <w:rsid w:val="009F5EFE"/>
    <w:rsid w:val="00A348C7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994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Align workforce programs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SEH Apprenticeship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Application Improvement Plan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and Community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E59E796-8408-4253-A608-3B4ABDEB6B9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Jail Grant</a:t>
          </a:r>
        </a:p>
      </dgm:t>
    </dgm:pt>
    <dgm:pt modelId="{28083322-D74F-46BD-94CD-66D572F42CDB}" type="parTrans" cxnId="{BD1E469C-B059-4201-B0CA-7D4A5600C447}">
      <dgm:prSet/>
      <dgm:spPr/>
    </dgm:pt>
    <dgm:pt modelId="{DF258AA2-B7BE-4E57-B32A-8970E276E63A}" type="sibTrans" cxnId="{BD1E469C-B059-4201-B0CA-7D4A5600C447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BD1E469C-B059-4201-B0CA-7D4A5600C447}" srcId="{591F15E3-932E-4B4C-9E30-D153813EC974}" destId="{EE59E796-8408-4253-A608-3B4ABDEB6B9F}" srcOrd="1" destOrd="0" parTransId="{28083322-D74F-46BD-94CD-66D572F42CDB}" sibTransId="{DF258AA2-B7BE-4E57-B32A-8970E276E63A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582333E5-7673-461C-8E60-96E2832EEECB}" type="presOf" srcId="{EE59E796-8408-4253-A608-3B4ABDEB6B9F}" destId="{6FC5D01E-A6F5-429A-A224-7D89ADC33467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Align workforce programs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SEH Apprenticeship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Jail Grant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Application Improvement Plan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and Community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Sherick, Cathy</cp:lastModifiedBy>
  <cp:revision>3</cp:revision>
  <dcterms:created xsi:type="dcterms:W3CDTF">2018-10-10T22:20:00Z</dcterms:created>
  <dcterms:modified xsi:type="dcterms:W3CDTF">2018-10-10T22:23:00Z</dcterms:modified>
</cp:coreProperties>
</file>