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792A81" w:rsidRDefault="00683066" w:rsidP="00683066">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792A81" w:rsidRDefault="00683066" w:rsidP="00683066">
      <w:pPr>
        <w:spacing w:after="0" w:line="240" w:lineRule="auto"/>
        <w:rPr>
          <w:rFonts w:eastAsia="Times New Roman" w:cs="Times New Roman"/>
          <w:sz w:val="24"/>
          <w:szCs w:val="24"/>
        </w:rPr>
      </w:pPr>
    </w:p>
    <w:p w:rsidR="00683066" w:rsidRPr="00792A81" w:rsidRDefault="00683066" w:rsidP="00683066">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r>
        <w:rPr>
          <w:rFonts w:eastAsia="Times New Roman" w:cs="Times New Roman"/>
          <w:b/>
          <w:sz w:val="24"/>
          <w:szCs w:val="24"/>
        </w:rPr>
        <w:t xml:space="preserve"> -</w:t>
      </w:r>
      <w:r w:rsidRPr="00792A81">
        <w:rPr>
          <w:rFonts w:eastAsia="Times New Roman" w:cs="Times New Roman"/>
          <w:b/>
          <w:sz w:val="24"/>
          <w:szCs w:val="24"/>
        </w:rPr>
        <w:t>MINUTES</w:t>
      </w:r>
    </w:p>
    <w:p w:rsidR="00683066" w:rsidRPr="00792A81" w:rsidRDefault="00683066" w:rsidP="00BE312F">
      <w:pPr>
        <w:spacing w:after="0" w:line="240" w:lineRule="auto"/>
        <w:jc w:val="center"/>
        <w:rPr>
          <w:rFonts w:eastAsia="Times New Roman" w:cs="Times New Roman"/>
          <w:b/>
          <w:sz w:val="24"/>
          <w:szCs w:val="24"/>
        </w:rPr>
      </w:pPr>
      <w:r>
        <w:rPr>
          <w:rFonts w:eastAsia="Times New Roman" w:cs="Times New Roman"/>
          <w:b/>
          <w:sz w:val="24"/>
          <w:szCs w:val="24"/>
        </w:rPr>
        <w:t xml:space="preserve">Tuesday </w:t>
      </w:r>
      <w:r>
        <w:rPr>
          <w:rFonts w:eastAsia="Times New Roman" w:cs="Times New Roman"/>
          <w:b/>
          <w:sz w:val="24"/>
          <w:szCs w:val="24"/>
        </w:rPr>
        <w:t>October 26</w:t>
      </w:r>
      <w:r>
        <w:rPr>
          <w:rFonts w:eastAsia="Times New Roman" w:cs="Times New Roman"/>
          <w:b/>
          <w:sz w:val="24"/>
          <w:szCs w:val="24"/>
        </w:rPr>
        <w:t>, 2017</w:t>
      </w:r>
      <w:r w:rsidR="00BE312F">
        <w:rPr>
          <w:rFonts w:eastAsia="Times New Roman" w:cs="Times New Roman"/>
          <w:b/>
          <w:sz w:val="24"/>
          <w:szCs w:val="24"/>
        </w:rPr>
        <w:t xml:space="preserve"> * </w:t>
      </w:r>
      <w:r w:rsidRPr="00792A81">
        <w:rPr>
          <w:rFonts w:eastAsia="Times New Roman" w:cs="Times New Roman"/>
          <w:b/>
          <w:sz w:val="24"/>
          <w:szCs w:val="24"/>
        </w:rPr>
        <w:t>6:00—8:00 p.m.</w:t>
      </w:r>
    </w:p>
    <w:p w:rsidR="00683066" w:rsidRDefault="00683066" w:rsidP="00683066">
      <w:pPr>
        <w:spacing w:after="0" w:line="240" w:lineRule="auto"/>
        <w:jc w:val="center"/>
        <w:rPr>
          <w:rFonts w:eastAsia="Times New Roman" w:cs="Times New Roman"/>
          <w:b/>
          <w:sz w:val="24"/>
          <w:szCs w:val="24"/>
        </w:rPr>
      </w:pPr>
      <w:r>
        <w:rPr>
          <w:rFonts w:eastAsia="Times New Roman" w:cs="Times New Roman"/>
          <w:b/>
          <w:sz w:val="24"/>
          <w:szCs w:val="24"/>
        </w:rPr>
        <w:t>Meeting Location: Clark College @ WSU-Vancouver</w:t>
      </w:r>
      <w:r w:rsidRPr="00792A81">
        <w:rPr>
          <w:rFonts w:eastAsia="Times New Roman" w:cs="Times New Roman"/>
          <w:b/>
          <w:sz w:val="24"/>
          <w:szCs w:val="24"/>
        </w:rPr>
        <w:t>, room 124</w:t>
      </w:r>
    </w:p>
    <w:p w:rsidR="00683066" w:rsidRPr="00792A81" w:rsidRDefault="00683066" w:rsidP="00683066">
      <w:pPr>
        <w:spacing w:after="0" w:line="240" w:lineRule="auto"/>
        <w:jc w:val="center"/>
        <w:rPr>
          <w:rFonts w:eastAsia="Times New Roman" w:cs="Times New Roman"/>
          <w:b/>
          <w:sz w:val="24"/>
          <w:szCs w:val="24"/>
        </w:rPr>
      </w:pPr>
    </w:p>
    <w:p w:rsidR="00683066" w:rsidRPr="00792A81" w:rsidRDefault="00683066" w:rsidP="00C40895">
      <w:pPr>
        <w:spacing w:after="0" w:line="240" w:lineRule="auto"/>
        <w:jc w:val="both"/>
        <w:rPr>
          <w:rFonts w:eastAsia="Times New Roman" w:cs="Times New Roman"/>
          <w:sz w:val="20"/>
          <w:szCs w:val="20"/>
        </w:rPr>
      </w:pPr>
      <w:r w:rsidRPr="00792A81">
        <w:rPr>
          <w:rFonts w:eastAsia="Times New Roman" w:cs="Times New Roman"/>
          <w:b/>
          <w:sz w:val="20"/>
          <w:szCs w:val="20"/>
        </w:rPr>
        <w:t>Members Present:</w:t>
      </w:r>
      <w:r>
        <w:rPr>
          <w:rFonts w:eastAsia="Times New Roman" w:cs="Times New Roman"/>
          <w:sz w:val="20"/>
          <w:szCs w:val="20"/>
        </w:rPr>
        <w:t xml:space="preserve"> </w:t>
      </w:r>
      <w:r w:rsidRPr="00712000">
        <w:rPr>
          <w:sz w:val="20"/>
        </w:rPr>
        <w:t>Derrick Ogawa (Committee Chair), Walgreens</w:t>
      </w:r>
      <w:r>
        <w:rPr>
          <w:rFonts w:eastAsia="Times New Roman" w:cs="Times New Roman"/>
          <w:sz w:val="20"/>
          <w:szCs w:val="20"/>
        </w:rPr>
        <w:t xml:space="preserve">; </w:t>
      </w:r>
      <w:r w:rsidRPr="00792A81">
        <w:rPr>
          <w:rFonts w:eastAsia="Times New Roman" w:cs="Times New Roman"/>
          <w:sz w:val="20"/>
          <w:szCs w:val="20"/>
        </w:rPr>
        <w:t xml:space="preserve">Bob Gustainis, Walgreens; </w:t>
      </w:r>
      <w:r w:rsidR="00BE312F" w:rsidRPr="00792A81">
        <w:rPr>
          <w:rFonts w:eastAsia="Times New Roman" w:cs="Times New Roman"/>
          <w:sz w:val="20"/>
          <w:szCs w:val="20"/>
        </w:rPr>
        <w:t>Anthony Mauer, PeaceHealth St. John’s Hospital;</w:t>
      </w:r>
      <w:r w:rsidR="00BE312F">
        <w:rPr>
          <w:rFonts w:eastAsia="Times New Roman" w:cs="Times New Roman"/>
          <w:sz w:val="20"/>
          <w:szCs w:val="20"/>
        </w:rPr>
        <w:t xml:space="preserve"> </w:t>
      </w:r>
      <w:r>
        <w:rPr>
          <w:rFonts w:eastAsia="Times New Roman" w:cs="Times New Roman"/>
          <w:sz w:val="20"/>
          <w:szCs w:val="20"/>
        </w:rPr>
        <w:t>Matt McCarty, Fred Meyer</w:t>
      </w:r>
      <w:r w:rsidR="00BE312F">
        <w:rPr>
          <w:rFonts w:eastAsia="Times New Roman" w:cs="Times New Roman"/>
          <w:sz w:val="20"/>
          <w:szCs w:val="20"/>
        </w:rPr>
        <w:t xml:space="preserve">; </w:t>
      </w:r>
      <w:r w:rsidR="00BE312F" w:rsidRPr="00792A81">
        <w:rPr>
          <w:rFonts w:eastAsia="Times New Roman" w:cs="Times New Roman"/>
          <w:sz w:val="20"/>
          <w:szCs w:val="20"/>
        </w:rPr>
        <w:t>Brenda Tallent, Legacy Health</w:t>
      </w:r>
    </w:p>
    <w:p w:rsidR="00683066" w:rsidRPr="00792A81" w:rsidRDefault="00683066" w:rsidP="00C40895">
      <w:pPr>
        <w:spacing w:after="0" w:line="240" w:lineRule="auto"/>
        <w:jc w:val="both"/>
        <w:rPr>
          <w:rFonts w:eastAsia="Times New Roman" w:cs="Times New Roman"/>
          <w:b/>
          <w:sz w:val="20"/>
          <w:szCs w:val="20"/>
          <w:u w:val="single"/>
        </w:rPr>
      </w:pPr>
    </w:p>
    <w:p w:rsidR="00683066" w:rsidRPr="00792A81" w:rsidRDefault="00683066" w:rsidP="00C40895">
      <w:pPr>
        <w:spacing w:after="0" w:line="240" w:lineRule="auto"/>
        <w:jc w:val="both"/>
        <w:rPr>
          <w:rFonts w:eastAsia="Times New Roman" w:cs="Times New Roman"/>
          <w:sz w:val="20"/>
          <w:szCs w:val="20"/>
        </w:rPr>
      </w:pPr>
      <w:r w:rsidRPr="00792A81">
        <w:rPr>
          <w:rFonts w:eastAsia="Times New Roman" w:cs="Times New Roman"/>
          <w:b/>
          <w:sz w:val="20"/>
          <w:szCs w:val="20"/>
        </w:rPr>
        <w:t>Members Absent:</w:t>
      </w:r>
      <w:r w:rsidRPr="004E492E">
        <w:t xml:space="preserve"> </w:t>
      </w:r>
      <w:r w:rsidR="00BE312F">
        <w:rPr>
          <w:rFonts w:eastAsia="Times New Roman" w:cs="Times New Roman"/>
          <w:sz w:val="20"/>
          <w:szCs w:val="20"/>
        </w:rPr>
        <w:t>Zach McCall (</w:t>
      </w:r>
      <w:r w:rsidR="00BE312F" w:rsidRPr="00AD104A">
        <w:rPr>
          <w:rFonts w:eastAsia="Times New Roman" w:cs="Times New Roman"/>
          <w:sz w:val="20"/>
          <w:szCs w:val="20"/>
        </w:rPr>
        <w:t>Vice-Chair</w:t>
      </w:r>
      <w:r w:rsidR="00BE312F">
        <w:rPr>
          <w:rFonts w:eastAsia="Times New Roman" w:cs="Times New Roman"/>
          <w:sz w:val="20"/>
          <w:szCs w:val="20"/>
        </w:rPr>
        <w:t>)</w:t>
      </w:r>
      <w:r w:rsidR="00BE312F" w:rsidRPr="00AD104A">
        <w:rPr>
          <w:rFonts w:eastAsia="Times New Roman" w:cs="Times New Roman"/>
          <w:sz w:val="20"/>
          <w:szCs w:val="20"/>
        </w:rPr>
        <w:t>, Legacy Good Samaritan Medical Center</w:t>
      </w:r>
      <w:r w:rsidR="00BE312F">
        <w:rPr>
          <w:rFonts w:eastAsia="Times New Roman" w:cs="Times New Roman"/>
          <w:sz w:val="20"/>
          <w:szCs w:val="20"/>
        </w:rPr>
        <w:t>;</w:t>
      </w:r>
      <w:r w:rsidR="00BE312F" w:rsidRPr="00AD104A">
        <w:rPr>
          <w:rFonts w:eastAsia="Times New Roman" w:cs="Times New Roman"/>
          <w:sz w:val="20"/>
          <w:szCs w:val="20"/>
        </w:rPr>
        <w:t xml:space="preserve"> </w:t>
      </w:r>
      <w:r>
        <w:rPr>
          <w:rFonts w:eastAsia="Times New Roman" w:cs="Times New Roman"/>
          <w:sz w:val="20"/>
          <w:szCs w:val="20"/>
        </w:rPr>
        <w:t>Rene Bloemke, Net-RX;</w:t>
      </w:r>
      <w:r w:rsidRPr="00792A81">
        <w:rPr>
          <w:rFonts w:eastAsia="Times New Roman" w:cs="Times New Roman"/>
          <w:sz w:val="20"/>
          <w:szCs w:val="20"/>
        </w:rPr>
        <w:t xml:space="preserve"> </w:t>
      </w:r>
      <w:r w:rsidR="00BE312F">
        <w:rPr>
          <w:rFonts w:eastAsia="Times New Roman" w:cs="Times New Roman"/>
          <w:sz w:val="20"/>
          <w:szCs w:val="20"/>
        </w:rPr>
        <w:t>Huy Hoang, CVS</w:t>
      </w:r>
      <w:r w:rsidR="00BE312F">
        <w:rPr>
          <w:rFonts w:eastAsia="Times New Roman" w:cs="Times New Roman"/>
          <w:sz w:val="20"/>
          <w:szCs w:val="20"/>
        </w:rPr>
        <w:t>; Cornel Brisc, Walgreens</w:t>
      </w:r>
    </w:p>
    <w:p w:rsidR="00683066" w:rsidRDefault="00683066" w:rsidP="00C40895">
      <w:pPr>
        <w:spacing w:after="0" w:line="240" w:lineRule="auto"/>
        <w:jc w:val="both"/>
        <w:rPr>
          <w:rFonts w:eastAsia="Times New Roman" w:cs="Times New Roman"/>
          <w:sz w:val="20"/>
          <w:szCs w:val="20"/>
        </w:rPr>
      </w:pPr>
    </w:p>
    <w:p w:rsidR="00683066" w:rsidRDefault="00683066" w:rsidP="00C40895">
      <w:pPr>
        <w:spacing w:after="0" w:line="240" w:lineRule="auto"/>
        <w:jc w:val="both"/>
        <w:rPr>
          <w:rFonts w:eastAsia="Times New Roman" w:cs="Times New Roman"/>
          <w:sz w:val="20"/>
          <w:szCs w:val="20"/>
        </w:rPr>
      </w:pPr>
      <w:r w:rsidRPr="00737B80">
        <w:rPr>
          <w:rFonts w:eastAsia="Times New Roman" w:cs="Times New Roman"/>
          <w:b/>
          <w:sz w:val="20"/>
          <w:szCs w:val="20"/>
        </w:rPr>
        <w:t xml:space="preserve">Guests: </w:t>
      </w:r>
      <w:r w:rsidR="000D24EE">
        <w:rPr>
          <w:rFonts w:eastAsia="Times New Roman" w:cs="Times New Roman"/>
          <w:sz w:val="20"/>
          <w:szCs w:val="20"/>
        </w:rPr>
        <w:t>Stewart</w:t>
      </w:r>
      <w:r w:rsidR="00BE312F">
        <w:rPr>
          <w:rFonts w:eastAsia="Times New Roman" w:cs="Times New Roman"/>
          <w:sz w:val="20"/>
          <w:szCs w:val="20"/>
        </w:rPr>
        <w:t xml:space="preserve"> Harris, Walgreens</w:t>
      </w:r>
    </w:p>
    <w:p w:rsidR="00BE312F" w:rsidRPr="00792A81" w:rsidRDefault="00BE312F" w:rsidP="00C40895">
      <w:pPr>
        <w:spacing w:after="0" w:line="240" w:lineRule="auto"/>
        <w:jc w:val="both"/>
        <w:rPr>
          <w:rFonts w:eastAsia="Times New Roman" w:cs="Times New Roman"/>
          <w:sz w:val="20"/>
          <w:szCs w:val="20"/>
        </w:rPr>
      </w:pPr>
    </w:p>
    <w:p w:rsidR="00683066" w:rsidRPr="00792A81" w:rsidRDefault="00683066" w:rsidP="00C40895">
      <w:pPr>
        <w:pBdr>
          <w:bottom w:val="single" w:sz="6" w:space="1" w:color="auto"/>
        </w:pBdr>
        <w:spacing w:after="0" w:line="240" w:lineRule="auto"/>
        <w:jc w:val="both"/>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w:t>
      </w:r>
      <w:r>
        <w:rPr>
          <w:rFonts w:eastAsia="Times New Roman" w:cs="Times New Roman"/>
          <w:sz w:val="20"/>
          <w:szCs w:val="20"/>
        </w:rPr>
        <w:t xml:space="preserve">Heidi Fay, </w:t>
      </w:r>
      <w:r w:rsidR="00BE312F">
        <w:rPr>
          <w:rFonts w:eastAsia="Times New Roman" w:cs="Times New Roman"/>
          <w:sz w:val="20"/>
          <w:szCs w:val="20"/>
        </w:rPr>
        <w:t>Caytlyn Chin, Christian Martinez-Layvera, Chris Schreiber – Pharmacy Tech Instructors</w:t>
      </w:r>
      <w:r>
        <w:rPr>
          <w:rFonts w:eastAsia="Times New Roman" w:cs="Times New Roman"/>
          <w:sz w:val="20"/>
          <w:szCs w:val="20"/>
        </w:rPr>
        <w:t xml:space="preserve">; </w:t>
      </w:r>
      <w:r w:rsidR="00BE312F">
        <w:rPr>
          <w:rFonts w:eastAsia="Times New Roman" w:cs="Times New Roman"/>
          <w:sz w:val="20"/>
          <w:szCs w:val="20"/>
        </w:rPr>
        <w:t xml:space="preserve">Jennifer Obbard, </w:t>
      </w:r>
      <w:r>
        <w:rPr>
          <w:rFonts w:eastAsia="Times New Roman" w:cs="Times New Roman"/>
          <w:sz w:val="20"/>
          <w:szCs w:val="20"/>
        </w:rPr>
        <w:t>Assoc. Dean of Health Sciences</w:t>
      </w:r>
      <w:r w:rsidRPr="00792A81">
        <w:rPr>
          <w:rFonts w:eastAsia="Times New Roman" w:cs="Times New Roman"/>
          <w:sz w:val="20"/>
          <w:szCs w:val="20"/>
        </w:rPr>
        <w:t>;</w:t>
      </w:r>
      <w:r>
        <w:rPr>
          <w:rFonts w:eastAsia="Times New Roman" w:cs="Times New Roman"/>
          <w:sz w:val="20"/>
          <w:szCs w:val="20"/>
        </w:rPr>
        <w:t xml:space="preserve"> </w:t>
      </w:r>
      <w:r w:rsidR="00BE312F">
        <w:rPr>
          <w:rFonts w:eastAsia="Times New Roman" w:cs="Times New Roman"/>
          <w:sz w:val="20"/>
          <w:szCs w:val="20"/>
        </w:rPr>
        <w:t xml:space="preserve">Shelley Ostermiller, HEOC Advising; Cathy Sherick, Assoc. Dir. Instructional Planning &amp; Innovation; </w:t>
      </w:r>
      <w:r w:rsidRPr="00792A81">
        <w:rPr>
          <w:rFonts w:eastAsia="Times New Roman" w:cs="Times New Roman"/>
          <w:sz w:val="20"/>
          <w:szCs w:val="20"/>
        </w:rPr>
        <w:t xml:space="preserve">Nichola Farron, </w:t>
      </w:r>
      <w:r w:rsidR="00BE312F">
        <w:rPr>
          <w:rFonts w:eastAsia="Times New Roman" w:cs="Times New Roman"/>
          <w:sz w:val="20"/>
          <w:szCs w:val="20"/>
        </w:rPr>
        <w:t>Program Specialist</w:t>
      </w:r>
      <w:r w:rsidRPr="00792A81">
        <w:rPr>
          <w:rFonts w:eastAsia="Times New Roman" w:cs="Times New Roman"/>
          <w:sz w:val="20"/>
          <w:szCs w:val="20"/>
        </w:rPr>
        <w:t xml:space="preserve"> - Advisory Committees, </w:t>
      </w:r>
    </w:p>
    <w:p w:rsidR="007C27AB" w:rsidRPr="00C40895" w:rsidRDefault="00BE312F" w:rsidP="00C40895">
      <w:pPr>
        <w:jc w:val="both"/>
      </w:pPr>
      <w:r w:rsidRPr="00C40895">
        <w:t>Committee Chair Derric</w:t>
      </w:r>
      <w:r w:rsidR="006079DC" w:rsidRPr="00C40895">
        <w:t>k called</w:t>
      </w:r>
      <w:r w:rsidRPr="00C40895">
        <w:t xml:space="preserve"> the</w:t>
      </w:r>
      <w:r w:rsidR="006079DC" w:rsidRPr="00C40895">
        <w:t xml:space="preserve"> meeting to order at 6.02pm and introductions were made</w:t>
      </w:r>
      <w:r w:rsidRPr="00C40895">
        <w:t>.</w:t>
      </w:r>
    </w:p>
    <w:p w:rsidR="00BE312F" w:rsidRPr="00C40895" w:rsidRDefault="00BE312F" w:rsidP="00C40895">
      <w:pPr>
        <w:pStyle w:val="Subtitle"/>
        <w:jc w:val="both"/>
      </w:pPr>
      <w:r w:rsidRPr="00C40895">
        <w:t>Minutes of the Previous Meeting</w:t>
      </w:r>
    </w:p>
    <w:p w:rsidR="00BE312F" w:rsidRPr="00C40895" w:rsidRDefault="00BE312F" w:rsidP="00C40895">
      <w:pPr>
        <w:jc w:val="both"/>
        <w:rPr>
          <w:i/>
        </w:rPr>
      </w:pPr>
      <w:r w:rsidRPr="00C40895">
        <w:rPr>
          <w:i/>
        </w:rPr>
        <w:t>The minutes of May 23 2017 were presented; Derrick made a</w:t>
      </w:r>
      <w:r w:rsidR="00D41AE7">
        <w:rPr>
          <w:i/>
        </w:rPr>
        <w:t xml:space="preserve"> motion to approve as written. </w:t>
      </w:r>
      <w:r w:rsidRPr="00C40895">
        <w:rPr>
          <w:i/>
        </w:rPr>
        <w:t>This was seconded by Brenda and passed unanimously.</w:t>
      </w:r>
    </w:p>
    <w:p w:rsidR="00BE312F" w:rsidRPr="00C40895" w:rsidRDefault="005A769C" w:rsidP="00C40895">
      <w:pPr>
        <w:pStyle w:val="Subtitle"/>
        <w:jc w:val="both"/>
      </w:pPr>
      <w:r w:rsidRPr="00C40895">
        <w:t>Next Meeting Date</w:t>
      </w:r>
    </w:p>
    <w:p w:rsidR="005A769C" w:rsidRPr="00C40895" w:rsidRDefault="005A769C" w:rsidP="00C40895">
      <w:pPr>
        <w:jc w:val="both"/>
      </w:pPr>
      <w:r w:rsidRPr="00C40895">
        <w:t xml:space="preserve">The </w:t>
      </w:r>
      <w:r w:rsidR="00AF470B" w:rsidRPr="00C40895">
        <w:t>committee</w:t>
      </w:r>
      <w:r w:rsidRPr="00C40895">
        <w:t xml:space="preserve"> will </w:t>
      </w:r>
      <w:r w:rsidR="00AF470B" w:rsidRPr="00C40895">
        <w:t>next</w:t>
      </w:r>
      <w:r w:rsidRPr="00C40895">
        <w:t xml:space="preserve"> meet on </w:t>
      </w:r>
      <w:r w:rsidR="00AF470B" w:rsidRPr="00C40895">
        <w:t>Thursday</w:t>
      </w:r>
      <w:r w:rsidRPr="00C40895">
        <w:t xml:space="preserve"> February 15 2018 at 6.00pm</w:t>
      </w:r>
    </w:p>
    <w:p w:rsidR="005A769C" w:rsidRPr="00C40895" w:rsidRDefault="005A769C" w:rsidP="00C40895">
      <w:pPr>
        <w:pStyle w:val="Subtitle"/>
        <w:jc w:val="both"/>
      </w:pPr>
      <w:r w:rsidRPr="00C40895">
        <w:t>Office of Instruction Updates</w:t>
      </w:r>
    </w:p>
    <w:p w:rsidR="005A769C" w:rsidRPr="00C40895" w:rsidRDefault="005A769C" w:rsidP="00C40895">
      <w:pPr>
        <w:jc w:val="both"/>
      </w:pPr>
      <w:r w:rsidRPr="00C40895">
        <w:t xml:space="preserve">Cathy Sherick made the following </w:t>
      </w:r>
      <w:r w:rsidR="00AF470B" w:rsidRPr="00C40895">
        <w:t>announcements</w:t>
      </w:r>
      <w:r w:rsidRPr="00C40895">
        <w:t>:</w:t>
      </w:r>
    </w:p>
    <w:p w:rsidR="005A769C" w:rsidRPr="00C40895" w:rsidRDefault="005A769C" w:rsidP="00C40895">
      <w:pPr>
        <w:jc w:val="both"/>
        <w:rPr>
          <w:b/>
        </w:rPr>
      </w:pPr>
      <w:r w:rsidRPr="00C40895">
        <w:t xml:space="preserve">Welcome back to 2017-18 we are excited to be rolling up our sleeves and delving in to the second year of work of our </w:t>
      </w:r>
      <w:r w:rsidRPr="00C40895">
        <w:rPr>
          <w:b/>
        </w:rPr>
        <w:t>Academic plan.</w:t>
      </w:r>
    </w:p>
    <w:p w:rsidR="005A769C" w:rsidRPr="00C40895" w:rsidRDefault="005A769C" w:rsidP="00C40895">
      <w:pPr>
        <w:jc w:val="both"/>
      </w:pPr>
      <w:r w:rsidRPr="00C40895">
        <w:t xml:space="preserve">The new </w:t>
      </w:r>
      <w:r w:rsidRPr="00C40895">
        <w:rPr>
          <w:b/>
        </w:rPr>
        <w:t>“Areas of Study”</w:t>
      </w:r>
      <w:r w:rsidRPr="00C40895">
        <w:t xml:space="preserve"> have been adopted and approved these will provide the framework for organizing the different degree paths for students. The link is </w:t>
      </w:r>
      <w:hyperlink r:id="rId6" w:history="1">
        <w:r w:rsidRPr="00C40895">
          <w:rPr>
            <w:rStyle w:val="Hyperlink"/>
          </w:rPr>
          <w:t>here</w:t>
        </w:r>
      </w:hyperlink>
    </w:p>
    <w:p w:rsidR="005A769C" w:rsidRPr="00C40895" w:rsidRDefault="005A769C" w:rsidP="00C40895">
      <w:pPr>
        <w:jc w:val="both"/>
      </w:pPr>
      <w:r w:rsidRPr="00C40895">
        <w:t xml:space="preserve">Advisory Committees will begin to see how they fit in to the implementation work of </w:t>
      </w:r>
      <w:r w:rsidRPr="00C40895">
        <w:rPr>
          <w:b/>
        </w:rPr>
        <w:t>Pathways</w:t>
      </w:r>
      <w:r w:rsidRPr="00C40895">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5A769C" w:rsidRPr="00C40895" w:rsidRDefault="005A769C" w:rsidP="00C40895">
      <w:pPr>
        <w:jc w:val="both"/>
      </w:pPr>
      <w:r w:rsidRPr="00C40895">
        <w:t xml:space="preserve">Academic plan Goal 6: </w:t>
      </w:r>
      <w:r w:rsidRPr="00C40895">
        <w:rPr>
          <w:i/>
        </w:rPr>
        <w:t xml:space="preserve">Infuse the study of </w:t>
      </w:r>
      <w:r w:rsidRPr="00C40895">
        <w:rPr>
          <w:b/>
          <w:i/>
        </w:rPr>
        <w:t>Power, Privilege and Inequity</w:t>
      </w:r>
      <w:r w:rsidRPr="00C40895">
        <w:rPr>
          <w:i/>
        </w:rPr>
        <w:t xml:space="preserve"> throughout the curriculum.</w:t>
      </w:r>
      <w:r w:rsidRPr="00C40895">
        <w:t xml:space="preserve"> Last year advisory members asked why this was happening at Clark. To answer that question, we have been </w:t>
      </w:r>
      <w:r w:rsidRPr="00C40895">
        <w:lastRenderedPageBreak/>
        <w:t xml:space="preserve">working with the </w:t>
      </w:r>
      <w:r w:rsidRPr="00C40895">
        <w:rPr>
          <w:u w:val="single"/>
        </w:rPr>
        <w:t>Office of Diversity and Equity</w:t>
      </w:r>
      <w:r w:rsidRPr="00C40895">
        <w:t xml:space="preserve"> to put together some basic information that can help frame the issue for further discussion. Watch for it on meeting agendas.</w:t>
      </w:r>
    </w:p>
    <w:p w:rsidR="005A769C" w:rsidRPr="00C40895" w:rsidRDefault="005A769C" w:rsidP="00C40895">
      <w:pPr>
        <w:jc w:val="both"/>
      </w:pPr>
      <w:r w:rsidRPr="00C40895">
        <w:t xml:space="preserve">The new </w:t>
      </w:r>
      <w:r w:rsidRPr="00C40895">
        <w:rPr>
          <w:b/>
        </w:rPr>
        <w:t>McClaskey Culinary Institute (MCI)</w:t>
      </w:r>
      <w:r w:rsidRPr="00C40895">
        <w:t xml:space="preserve"> is open and teaching students this term! The link to information about the program is </w:t>
      </w:r>
      <w:hyperlink r:id="rId7" w:history="1">
        <w:r w:rsidRPr="00C40895">
          <w:rPr>
            <w:rStyle w:val="Hyperlink"/>
          </w:rPr>
          <w:t>here</w:t>
        </w:r>
      </w:hyperlink>
      <w:r w:rsidRPr="00C40895">
        <w:t xml:space="preserve">. We are looking forward to being able to provide our advisory members with menu items from the cuisine and baking programs. </w:t>
      </w:r>
    </w:p>
    <w:p w:rsidR="005A769C" w:rsidRPr="00C40895" w:rsidRDefault="005A769C" w:rsidP="00C40895">
      <w:pPr>
        <w:jc w:val="both"/>
      </w:pPr>
      <w:r w:rsidRPr="00C40895">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5A769C" w:rsidRPr="00C40895" w:rsidRDefault="005A769C" w:rsidP="00C40895">
      <w:pPr>
        <w:jc w:val="both"/>
      </w:pPr>
      <w:r w:rsidRPr="00C40895">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C40895">
        <w:rPr>
          <w:b/>
        </w:rPr>
        <w:t>Master Advisory Committee</w:t>
      </w:r>
      <w:r w:rsidRPr="00C40895">
        <w:t xml:space="preserve"> that will help us with three tasks.</w:t>
      </w:r>
    </w:p>
    <w:p w:rsidR="005A769C" w:rsidRPr="00C40895" w:rsidRDefault="005A769C" w:rsidP="00C40895">
      <w:pPr>
        <w:pStyle w:val="ListParagraph"/>
        <w:numPr>
          <w:ilvl w:val="0"/>
          <w:numId w:val="1"/>
        </w:numPr>
        <w:jc w:val="both"/>
      </w:pPr>
      <w:r w:rsidRPr="00C40895">
        <w:t>Visiting current committees to talk to members and get an idea of how things are working.</w:t>
      </w:r>
    </w:p>
    <w:p w:rsidR="005A769C" w:rsidRPr="00C40895" w:rsidRDefault="005A769C" w:rsidP="00C40895">
      <w:pPr>
        <w:pStyle w:val="ListParagraph"/>
        <w:numPr>
          <w:ilvl w:val="0"/>
          <w:numId w:val="1"/>
        </w:numPr>
        <w:jc w:val="both"/>
      </w:pPr>
      <w:r w:rsidRPr="00C40895">
        <w:t>Planning and hosting annual Advisory event.</w:t>
      </w:r>
    </w:p>
    <w:p w:rsidR="005A769C" w:rsidRPr="00C40895" w:rsidRDefault="005A769C" w:rsidP="00C40895">
      <w:pPr>
        <w:pStyle w:val="ListParagraph"/>
        <w:numPr>
          <w:ilvl w:val="0"/>
          <w:numId w:val="1"/>
        </w:numPr>
        <w:jc w:val="both"/>
      </w:pPr>
      <w:r w:rsidRPr="00C40895">
        <w:t>Reporting to the Board of Trustees every year on the great work of Advisory Committees.</w:t>
      </w:r>
    </w:p>
    <w:p w:rsidR="005A769C" w:rsidRPr="00C40895" w:rsidRDefault="005A769C" w:rsidP="00C40895">
      <w:pPr>
        <w:jc w:val="both"/>
      </w:pPr>
      <w:r w:rsidRPr="00C40895">
        <w:t>Let us know if you are interested by contacting Nic. You can be on two committees, or if you want to step away from your current committee work that is fine too.</w:t>
      </w:r>
    </w:p>
    <w:p w:rsidR="005A769C" w:rsidRPr="00C40895" w:rsidRDefault="005A769C" w:rsidP="00C40895">
      <w:pPr>
        <w:jc w:val="both"/>
      </w:pPr>
      <w:r w:rsidRPr="00C40895">
        <w:t xml:space="preserve">We also wanted to thank everyone who was able to attend the </w:t>
      </w:r>
      <w:r w:rsidRPr="00C40895">
        <w:rPr>
          <w:b/>
        </w:rPr>
        <w:t>annual recognition</w:t>
      </w:r>
      <w:r w:rsidRPr="00C40895">
        <w:t xml:space="preserve"> event held on July 13 at the new STEM building. We had beautiful weather, many cold beverages and a great time. We look forward to planning the event next year with our new Master Advisory Committees.</w:t>
      </w:r>
    </w:p>
    <w:p w:rsidR="005A769C" w:rsidRPr="00C40895" w:rsidRDefault="005A769C" w:rsidP="00C40895">
      <w:pPr>
        <w:jc w:val="both"/>
      </w:pPr>
      <w:r w:rsidRPr="00C40895">
        <w:t xml:space="preserve">We will be undertaking an updated Ethics training at the spring advisory meetings. </w:t>
      </w:r>
    </w:p>
    <w:p w:rsidR="005A769C" w:rsidRPr="00C40895" w:rsidRDefault="005A769C" w:rsidP="00C40895">
      <w:pPr>
        <w:jc w:val="both"/>
      </w:pPr>
      <w:r w:rsidRPr="00C40895">
        <w:t xml:space="preserve">The annual Clark College Career fair will be held in </w:t>
      </w:r>
      <w:r w:rsidRPr="00C40895">
        <w:t>May</w:t>
      </w:r>
      <w:r w:rsidRPr="00C40895">
        <w:t>. Advisory Committee members will be provided additional information from the career center in upcoming meetings.</w:t>
      </w:r>
    </w:p>
    <w:p w:rsidR="005A769C" w:rsidRPr="00C40895" w:rsidRDefault="005A769C"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C40895" w:rsidRDefault="00C40895" w:rsidP="00C40895">
      <w:pPr>
        <w:pStyle w:val="Subtitle"/>
        <w:jc w:val="both"/>
      </w:pPr>
    </w:p>
    <w:p w:rsidR="008E6E58" w:rsidRPr="00C40895" w:rsidRDefault="00AF470B" w:rsidP="00C40895">
      <w:pPr>
        <w:pStyle w:val="Subtitle"/>
        <w:jc w:val="both"/>
      </w:pPr>
      <w:r>
        <w:lastRenderedPageBreak/>
        <w:t>Work P</w:t>
      </w:r>
      <w:r w:rsidRPr="00C40895">
        <w:t>lan</w:t>
      </w:r>
      <w:r w:rsidRPr="00C40895">
        <w:t xml:space="preserve"> </w:t>
      </w:r>
      <w:r w:rsidR="008E6E58" w:rsidRPr="00C40895">
        <w:t xml:space="preserve">2017 </w:t>
      </w:r>
    </w:p>
    <w:p w:rsidR="008E6E58" w:rsidRPr="00C40895" w:rsidRDefault="005A769C" w:rsidP="00C40895">
      <w:pPr>
        <w:jc w:val="both"/>
      </w:pPr>
      <w:r w:rsidRPr="00C40895">
        <w:t xml:space="preserve">Dawn outlined the existing </w:t>
      </w:r>
      <w:r w:rsidR="00AF470B" w:rsidRPr="00C40895">
        <w:t>work plan</w:t>
      </w:r>
      <w:r w:rsidRPr="00C40895">
        <w:t xml:space="preserve">, which </w:t>
      </w:r>
      <w:r w:rsidR="00AF470B" w:rsidRPr="00C40895">
        <w:t>has</w:t>
      </w:r>
      <w:r w:rsidRPr="00C40895">
        <w:t xml:space="preserve"> not been updated, but could be readdressed to confirm the direction of the Committee.  It will also </w:t>
      </w:r>
      <w:r w:rsidR="00340769" w:rsidRPr="00C40895">
        <w:t xml:space="preserve">contribute to </w:t>
      </w:r>
      <w:r w:rsidR="00AF470B" w:rsidRPr="00C40895">
        <w:t>accreditation</w:t>
      </w:r>
      <w:r w:rsidR="00340769" w:rsidRPr="00C40895">
        <w:t xml:space="preserve"> efforts.</w:t>
      </w:r>
    </w:p>
    <w:p w:rsidR="00852694" w:rsidRPr="00C40895" w:rsidRDefault="00EC6D29">
      <w:r w:rsidRPr="00C40895">
        <w:t>Following committee discussion, the Work Plan was amended to the following:</w:t>
      </w:r>
    </w:p>
    <w:tbl>
      <w:tblPr>
        <w:tblStyle w:val="TableGrid"/>
        <w:tblW w:w="8882" w:type="dxa"/>
        <w:tblLook w:val="04A0" w:firstRow="1" w:lastRow="0" w:firstColumn="1" w:lastColumn="0" w:noHBand="0" w:noVBand="1"/>
      </w:tblPr>
      <w:tblGrid>
        <w:gridCol w:w="1927"/>
        <w:gridCol w:w="5256"/>
        <w:gridCol w:w="1699"/>
      </w:tblGrid>
      <w:tr w:rsidR="002A6084" w:rsidRPr="00C409A3" w:rsidTr="002A6084">
        <w:trPr>
          <w:trHeight w:val="166"/>
        </w:trPr>
        <w:tc>
          <w:tcPr>
            <w:tcW w:w="1927" w:type="dxa"/>
            <w:shd w:val="clear" w:color="auto" w:fill="D9D9D9" w:themeFill="background1" w:themeFillShade="D9"/>
          </w:tcPr>
          <w:p w:rsidR="002A6084" w:rsidRPr="002A6084" w:rsidRDefault="002A6084" w:rsidP="00C858FC">
            <w:pPr>
              <w:pStyle w:val="Heading2"/>
              <w:rPr>
                <w:rFonts w:asciiTheme="minorHAnsi" w:hAnsiTheme="minorHAnsi" w:cstheme="minorHAnsi"/>
                <w:sz w:val="18"/>
              </w:rPr>
            </w:pPr>
            <w:r w:rsidRPr="002A6084">
              <w:rPr>
                <w:rFonts w:asciiTheme="minorHAnsi" w:hAnsiTheme="minorHAnsi" w:cstheme="minorHAnsi"/>
                <w:sz w:val="18"/>
              </w:rPr>
              <w:t>Annual Goal Area</w:t>
            </w:r>
          </w:p>
        </w:tc>
        <w:tc>
          <w:tcPr>
            <w:tcW w:w="5256" w:type="dxa"/>
            <w:shd w:val="clear" w:color="auto" w:fill="D9D9D9" w:themeFill="background1" w:themeFillShade="D9"/>
          </w:tcPr>
          <w:p w:rsidR="002A6084" w:rsidRPr="002A6084" w:rsidRDefault="002A6084" w:rsidP="00C858FC">
            <w:pPr>
              <w:pStyle w:val="Heading2"/>
              <w:rPr>
                <w:rFonts w:asciiTheme="minorHAnsi" w:hAnsiTheme="minorHAnsi" w:cstheme="minorHAnsi"/>
                <w:sz w:val="18"/>
              </w:rPr>
            </w:pPr>
            <w:r w:rsidRPr="002A6084">
              <w:rPr>
                <w:rFonts w:asciiTheme="minorHAnsi" w:hAnsiTheme="minorHAnsi" w:cstheme="minorHAnsi"/>
                <w:sz w:val="18"/>
              </w:rPr>
              <w:t>Strategies</w:t>
            </w:r>
          </w:p>
        </w:tc>
        <w:tc>
          <w:tcPr>
            <w:tcW w:w="1699" w:type="dxa"/>
            <w:shd w:val="clear" w:color="auto" w:fill="D9D9D9" w:themeFill="background1" w:themeFillShade="D9"/>
          </w:tcPr>
          <w:p w:rsidR="002A6084" w:rsidRPr="002A6084" w:rsidRDefault="002A6084" w:rsidP="00C858FC">
            <w:pPr>
              <w:pStyle w:val="Heading2"/>
              <w:rPr>
                <w:rFonts w:asciiTheme="minorHAnsi" w:hAnsiTheme="minorHAnsi" w:cstheme="minorHAnsi"/>
                <w:sz w:val="18"/>
              </w:rPr>
            </w:pPr>
            <w:r w:rsidRPr="002A6084">
              <w:rPr>
                <w:rFonts w:asciiTheme="minorHAnsi" w:hAnsiTheme="minorHAnsi" w:cstheme="minorHAnsi"/>
                <w:sz w:val="18"/>
              </w:rPr>
              <w:t>Timeline</w:t>
            </w:r>
          </w:p>
        </w:tc>
      </w:tr>
      <w:tr w:rsidR="002A6084" w:rsidRPr="00C409A3" w:rsidTr="002A6084">
        <w:trPr>
          <w:trHeight w:val="1341"/>
        </w:trPr>
        <w:tc>
          <w:tcPr>
            <w:tcW w:w="1927" w:type="dxa"/>
          </w:tcPr>
          <w:p w:rsidR="002A6084" w:rsidRPr="002A6084" w:rsidRDefault="002A6084" w:rsidP="00C858FC">
            <w:pPr>
              <w:rPr>
                <w:rFonts w:cstheme="minorHAnsi"/>
                <w:sz w:val="18"/>
                <w:szCs w:val="24"/>
              </w:rPr>
            </w:pPr>
            <w:r w:rsidRPr="002A6084">
              <w:rPr>
                <w:rFonts w:cstheme="minorHAnsi"/>
                <w:sz w:val="18"/>
                <w:szCs w:val="24"/>
              </w:rPr>
              <w:t>Committee Recruitment</w:t>
            </w:r>
          </w:p>
        </w:tc>
        <w:tc>
          <w:tcPr>
            <w:tcW w:w="5256" w:type="dxa"/>
          </w:tcPr>
          <w:p w:rsidR="002A6084" w:rsidRPr="002A6084" w:rsidRDefault="002A6084" w:rsidP="002A6084">
            <w:pPr>
              <w:pStyle w:val="ListParagraph"/>
              <w:numPr>
                <w:ilvl w:val="0"/>
                <w:numId w:val="3"/>
              </w:numPr>
              <w:rPr>
                <w:rFonts w:cstheme="minorHAnsi"/>
                <w:sz w:val="18"/>
                <w:szCs w:val="24"/>
              </w:rPr>
            </w:pPr>
            <w:r w:rsidRPr="002A6084">
              <w:rPr>
                <w:rFonts w:cstheme="minorHAnsi"/>
                <w:sz w:val="18"/>
                <w:szCs w:val="24"/>
              </w:rPr>
              <w:t>Recruit across the spectrum of the profession e.g. lab workers, HR professionals, union representatives. Also a member to represent the insurance industry</w:t>
            </w:r>
          </w:p>
          <w:p w:rsidR="002A6084" w:rsidRPr="002A6084" w:rsidRDefault="002A6084" w:rsidP="002A6084">
            <w:pPr>
              <w:pStyle w:val="ListParagraph"/>
              <w:numPr>
                <w:ilvl w:val="0"/>
                <w:numId w:val="3"/>
              </w:numPr>
              <w:rPr>
                <w:rFonts w:cstheme="minorHAnsi"/>
                <w:sz w:val="18"/>
                <w:szCs w:val="24"/>
              </w:rPr>
            </w:pPr>
            <w:r w:rsidRPr="002A6084">
              <w:rPr>
                <w:rFonts w:cstheme="minorHAnsi"/>
                <w:sz w:val="18"/>
                <w:szCs w:val="24"/>
              </w:rPr>
              <w:t>Continue to make efforts to improve diversity on Advisory Committee</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tc>
      </w:tr>
      <w:tr w:rsidR="002A6084" w:rsidRPr="00C409A3" w:rsidTr="002A6084">
        <w:trPr>
          <w:trHeight w:val="202"/>
        </w:trPr>
        <w:tc>
          <w:tcPr>
            <w:tcW w:w="1927" w:type="dxa"/>
          </w:tcPr>
          <w:p w:rsidR="002A6084" w:rsidRPr="002A6084" w:rsidRDefault="002A6084" w:rsidP="00C858FC">
            <w:pPr>
              <w:rPr>
                <w:rFonts w:cstheme="minorHAnsi"/>
                <w:sz w:val="18"/>
                <w:szCs w:val="24"/>
              </w:rPr>
            </w:pPr>
            <w:r w:rsidRPr="002A6084">
              <w:rPr>
                <w:rFonts w:cstheme="minorHAnsi"/>
                <w:sz w:val="18"/>
                <w:szCs w:val="24"/>
              </w:rPr>
              <w:t>ASHP Accreditation</w:t>
            </w:r>
          </w:p>
        </w:tc>
        <w:tc>
          <w:tcPr>
            <w:tcW w:w="5256" w:type="dxa"/>
          </w:tcPr>
          <w:p w:rsidR="002A6084" w:rsidRPr="002A6084" w:rsidRDefault="002A6084" w:rsidP="00C858FC">
            <w:pPr>
              <w:rPr>
                <w:rFonts w:cstheme="minorHAnsi"/>
                <w:sz w:val="18"/>
                <w:szCs w:val="24"/>
              </w:rPr>
            </w:pPr>
            <w:r w:rsidRPr="002A6084">
              <w:rPr>
                <w:rFonts w:cstheme="minorHAnsi"/>
                <w:sz w:val="18"/>
                <w:szCs w:val="24"/>
              </w:rPr>
              <w:t>According to ASHP timeline revisions, Committee to assist with review of programs and materials</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tc>
      </w:tr>
      <w:tr w:rsidR="002A6084" w:rsidRPr="00C409A3" w:rsidTr="002A6084">
        <w:trPr>
          <w:trHeight w:val="1430"/>
        </w:trPr>
        <w:tc>
          <w:tcPr>
            <w:tcW w:w="1927" w:type="dxa"/>
          </w:tcPr>
          <w:p w:rsidR="002A6084" w:rsidRPr="002A6084" w:rsidRDefault="002A6084" w:rsidP="00C858FC">
            <w:pPr>
              <w:rPr>
                <w:rFonts w:cstheme="minorHAnsi"/>
                <w:sz w:val="18"/>
                <w:szCs w:val="24"/>
              </w:rPr>
            </w:pPr>
            <w:r w:rsidRPr="002A6084">
              <w:rPr>
                <w:rFonts w:cstheme="minorHAnsi"/>
                <w:sz w:val="18"/>
                <w:szCs w:val="24"/>
              </w:rPr>
              <w:t>Class Development</w:t>
            </w:r>
          </w:p>
        </w:tc>
        <w:tc>
          <w:tcPr>
            <w:tcW w:w="5256" w:type="dxa"/>
          </w:tcPr>
          <w:p w:rsidR="002A6084" w:rsidRPr="002A6084" w:rsidRDefault="002A6084" w:rsidP="00C858FC">
            <w:pPr>
              <w:rPr>
                <w:rFonts w:cstheme="minorHAnsi"/>
                <w:sz w:val="18"/>
                <w:szCs w:val="24"/>
              </w:rPr>
            </w:pPr>
            <w:r w:rsidRPr="002A6084">
              <w:rPr>
                <w:rFonts w:cstheme="minorHAnsi"/>
                <w:sz w:val="18"/>
                <w:szCs w:val="24"/>
              </w:rPr>
              <w:t>Focus Areas:</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Continue to investigate options for online modalities</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Explore integration of curriculum based on insurance and billing requirements (including rejections)</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Utilize Committee suggestions regarding inclusion of outpatient simulation</w:t>
            </w:r>
          </w:p>
          <w:p w:rsidR="002A6084" w:rsidRPr="002A6084" w:rsidRDefault="002A6084" w:rsidP="002A6084">
            <w:pPr>
              <w:pStyle w:val="ListParagraph"/>
              <w:numPr>
                <w:ilvl w:val="0"/>
                <w:numId w:val="2"/>
              </w:numPr>
              <w:rPr>
                <w:rFonts w:cstheme="minorHAnsi"/>
                <w:sz w:val="18"/>
                <w:szCs w:val="24"/>
              </w:rPr>
            </w:pPr>
            <w:r w:rsidRPr="002A6084">
              <w:rPr>
                <w:rFonts w:cstheme="minorHAnsi"/>
                <w:sz w:val="18"/>
                <w:szCs w:val="24"/>
              </w:rPr>
              <w:t>Ensure students have understanding of the nature and impact of charge-backs to pharmacies</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p w:rsidR="002A6084" w:rsidRPr="002A6084" w:rsidRDefault="002A6084" w:rsidP="00C858FC">
            <w:pPr>
              <w:rPr>
                <w:rFonts w:cstheme="minorHAnsi"/>
                <w:sz w:val="18"/>
                <w:szCs w:val="24"/>
              </w:rPr>
            </w:pPr>
          </w:p>
          <w:p w:rsidR="002A6084" w:rsidRPr="002A6084" w:rsidRDefault="002A6084" w:rsidP="00C858FC">
            <w:pPr>
              <w:rPr>
                <w:rFonts w:cstheme="minorHAnsi"/>
                <w:sz w:val="18"/>
                <w:szCs w:val="24"/>
              </w:rPr>
            </w:pPr>
          </w:p>
        </w:tc>
      </w:tr>
      <w:tr w:rsidR="002A6084" w:rsidRPr="00C409A3" w:rsidTr="002A6084">
        <w:trPr>
          <w:trHeight w:val="404"/>
        </w:trPr>
        <w:tc>
          <w:tcPr>
            <w:tcW w:w="1927" w:type="dxa"/>
          </w:tcPr>
          <w:p w:rsidR="002A6084" w:rsidRPr="002A6084" w:rsidRDefault="002A6084" w:rsidP="00C858FC">
            <w:pPr>
              <w:rPr>
                <w:rFonts w:cstheme="minorHAnsi"/>
                <w:sz w:val="18"/>
                <w:szCs w:val="24"/>
              </w:rPr>
            </w:pPr>
            <w:r w:rsidRPr="002A6084">
              <w:rPr>
                <w:rFonts w:cstheme="minorHAnsi"/>
                <w:sz w:val="18"/>
                <w:szCs w:val="24"/>
              </w:rPr>
              <w:t>Guided Pathways</w:t>
            </w:r>
          </w:p>
        </w:tc>
        <w:tc>
          <w:tcPr>
            <w:tcW w:w="5256" w:type="dxa"/>
          </w:tcPr>
          <w:p w:rsidR="002A6084" w:rsidRPr="002A6084" w:rsidRDefault="002A6084" w:rsidP="00C858FC">
            <w:pPr>
              <w:rPr>
                <w:rFonts w:cstheme="minorHAnsi"/>
                <w:sz w:val="18"/>
                <w:szCs w:val="24"/>
              </w:rPr>
            </w:pPr>
            <w:r w:rsidRPr="002A6084">
              <w:rPr>
                <w:rFonts w:cstheme="minorHAnsi"/>
                <w:sz w:val="18"/>
                <w:szCs w:val="24"/>
              </w:rPr>
              <w:t>Committee to review Pathways design and provide feedback as needed on structure, outcomes etc.</w:t>
            </w:r>
          </w:p>
        </w:tc>
        <w:tc>
          <w:tcPr>
            <w:tcW w:w="1699" w:type="dxa"/>
          </w:tcPr>
          <w:p w:rsidR="002A6084" w:rsidRPr="002A6084" w:rsidRDefault="002A6084" w:rsidP="00C858FC">
            <w:pPr>
              <w:rPr>
                <w:rFonts w:cstheme="minorHAnsi"/>
                <w:sz w:val="18"/>
                <w:szCs w:val="24"/>
              </w:rPr>
            </w:pPr>
            <w:r w:rsidRPr="002A6084">
              <w:rPr>
                <w:rFonts w:cstheme="minorHAnsi"/>
                <w:sz w:val="18"/>
                <w:szCs w:val="24"/>
              </w:rPr>
              <w:t xml:space="preserve">Ongoing </w:t>
            </w:r>
          </w:p>
        </w:tc>
      </w:tr>
      <w:tr w:rsidR="002A6084" w:rsidRPr="00C409A3" w:rsidTr="002A6084">
        <w:trPr>
          <w:trHeight w:val="1249"/>
        </w:trPr>
        <w:tc>
          <w:tcPr>
            <w:tcW w:w="1927" w:type="dxa"/>
          </w:tcPr>
          <w:p w:rsidR="002A6084" w:rsidRPr="002A6084" w:rsidRDefault="002A6084" w:rsidP="00C858FC">
            <w:pPr>
              <w:rPr>
                <w:rFonts w:cstheme="minorHAnsi"/>
                <w:sz w:val="18"/>
                <w:szCs w:val="24"/>
              </w:rPr>
            </w:pPr>
            <w:r w:rsidRPr="002A6084">
              <w:rPr>
                <w:rFonts w:cstheme="minorHAnsi"/>
                <w:sz w:val="18"/>
                <w:szCs w:val="24"/>
              </w:rPr>
              <w:t>Other</w:t>
            </w:r>
          </w:p>
        </w:tc>
        <w:tc>
          <w:tcPr>
            <w:tcW w:w="5256" w:type="dxa"/>
          </w:tcPr>
          <w:p w:rsidR="002A6084" w:rsidRPr="002A6084" w:rsidRDefault="002A6084" w:rsidP="002A6084">
            <w:pPr>
              <w:pStyle w:val="ListParagraph"/>
              <w:numPr>
                <w:ilvl w:val="0"/>
                <w:numId w:val="4"/>
              </w:numPr>
              <w:rPr>
                <w:rFonts w:cstheme="minorHAnsi"/>
                <w:sz w:val="18"/>
                <w:szCs w:val="24"/>
              </w:rPr>
            </w:pPr>
            <w:r w:rsidRPr="002A6084">
              <w:rPr>
                <w:rFonts w:cstheme="minorHAnsi"/>
                <w:sz w:val="18"/>
                <w:szCs w:val="24"/>
              </w:rPr>
              <w:t xml:space="preserve">Increase Adjunct engagement with Committee through meeting attendance, giving presentations etc. </w:t>
            </w:r>
          </w:p>
          <w:p w:rsidR="002A6084" w:rsidRPr="002A6084" w:rsidRDefault="002A6084" w:rsidP="002A6084">
            <w:pPr>
              <w:pStyle w:val="ListParagraph"/>
              <w:numPr>
                <w:ilvl w:val="0"/>
                <w:numId w:val="4"/>
              </w:numPr>
              <w:rPr>
                <w:rFonts w:cstheme="minorHAnsi"/>
                <w:sz w:val="18"/>
                <w:szCs w:val="24"/>
              </w:rPr>
            </w:pPr>
            <w:r w:rsidRPr="002A6084">
              <w:rPr>
                <w:rFonts w:cstheme="minorHAnsi"/>
                <w:sz w:val="18"/>
                <w:szCs w:val="24"/>
              </w:rPr>
              <w:t xml:space="preserve">Also utilize Adjunct expertise in course design and content. </w:t>
            </w:r>
          </w:p>
          <w:p w:rsidR="002A6084" w:rsidRPr="002A6084" w:rsidRDefault="002A6084" w:rsidP="002A6084">
            <w:pPr>
              <w:pStyle w:val="ListParagraph"/>
              <w:numPr>
                <w:ilvl w:val="0"/>
                <w:numId w:val="4"/>
              </w:numPr>
              <w:rPr>
                <w:rFonts w:cstheme="minorHAnsi"/>
                <w:sz w:val="18"/>
                <w:szCs w:val="24"/>
              </w:rPr>
            </w:pPr>
            <w:r w:rsidRPr="002A6084">
              <w:rPr>
                <w:rFonts w:cstheme="minorHAnsi"/>
                <w:sz w:val="18"/>
                <w:szCs w:val="24"/>
              </w:rPr>
              <w:t>Continue to explore options for simulation EMR package</w:t>
            </w:r>
          </w:p>
        </w:tc>
        <w:tc>
          <w:tcPr>
            <w:tcW w:w="1699" w:type="dxa"/>
          </w:tcPr>
          <w:p w:rsidR="002A6084" w:rsidRPr="002A6084" w:rsidRDefault="002A6084" w:rsidP="00C858FC">
            <w:pPr>
              <w:rPr>
                <w:rFonts w:cstheme="minorHAnsi"/>
                <w:sz w:val="18"/>
                <w:szCs w:val="24"/>
              </w:rPr>
            </w:pPr>
            <w:r w:rsidRPr="002A6084">
              <w:rPr>
                <w:rFonts w:cstheme="minorHAnsi"/>
                <w:sz w:val="18"/>
                <w:szCs w:val="24"/>
              </w:rPr>
              <w:t>Ongoing</w:t>
            </w:r>
          </w:p>
        </w:tc>
      </w:tr>
    </w:tbl>
    <w:p w:rsidR="002A6084" w:rsidRDefault="002A6084" w:rsidP="00C40895">
      <w:pPr>
        <w:pStyle w:val="Subtitle"/>
      </w:pPr>
    </w:p>
    <w:p w:rsidR="002A6084" w:rsidRPr="00C40895" w:rsidRDefault="002A6084" w:rsidP="00C40895">
      <w:pPr>
        <w:pStyle w:val="Subtitle"/>
        <w:jc w:val="both"/>
      </w:pPr>
      <w:r w:rsidRPr="00C40895">
        <w:t>Program Pathways</w:t>
      </w:r>
    </w:p>
    <w:p w:rsidR="002A6084" w:rsidRPr="00C40895" w:rsidRDefault="009D5D3C" w:rsidP="00C40895">
      <w:pPr>
        <w:jc w:val="both"/>
      </w:pPr>
      <w:r w:rsidRPr="00C40895">
        <w:t>Dawn outlined the proposed pathway for the program: completion of the 1</w:t>
      </w:r>
      <w:r w:rsidRPr="00C40895">
        <w:rPr>
          <w:vertAlign w:val="superscript"/>
        </w:rPr>
        <w:t>st</w:t>
      </w:r>
      <w:r w:rsidRPr="00C40895">
        <w:t xml:space="preserve"> </w:t>
      </w:r>
      <w:r w:rsidR="00AF470B" w:rsidRPr="00C40895">
        <w:t>quarter</w:t>
      </w:r>
      <w:r w:rsidRPr="00C40895">
        <w:t xml:space="preserve"> programs make </w:t>
      </w:r>
      <w:r w:rsidR="00AF470B" w:rsidRPr="00C40895">
        <w:t>students</w:t>
      </w:r>
      <w:r w:rsidRPr="00C40895">
        <w:t xml:space="preserve"> </w:t>
      </w:r>
      <w:r w:rsidR="00AF470B" w:rsidRPr="00C40895">
        <w:t>eligible</w:t>
      </w:r>
      <w:r w:rsidRPr="00C40895">
        <w:t xml:space="preserve"> to </w:t>
      </w:r>
      <w:r w:rsidR="00AF470B" w:rsidRPr="00C40895">
        <w:t>continue</w:t>
      </w:r>
      <w:r w:rsidR="00D41AE7">
        <w:t xml:space="preserve">. </w:t>
      </w:r>
      <w:r w:rsidR="00E92942" w:rsidRPr="00C40895">
        <w:t xml:space="preserve">Beyond that, there is not a prescriptive order to the courses. Dawn continued that she has identified the </w:t>
      </w:r>
      <w:r w:rsidR="00AF470B" w:rsidRPr="00C40895">
        <w:t>most</w:t>
      </w:r>
      <w:r w:rsidR="00E92942" w:rsidRPr="00C40895">
        <w:t xml:space="preserve"> logical sequence. </w:t>
      </w:r>
    </w:p>
    <w:p w:rsidR="00B15CF9" w:rsidRPr="00C40895" w:rsidRDefault="003C730C" w:rsidP="00C40895">
      <w:pPr>
        <w:jc w:val="both"/>
      </w:pPr>
      <w:r w:rsidRPr="00C40895">
        <w:t>Matt</w:t>
      </w:r>
      <w:r w:rsidR="00E92942" w:rsidRPr="00C40895">
        <w:t xml:space="preserve"> commented that it would be a good idea for students </w:t>
      </w:r>
      <w:r w:rsidR="00AF470B" w:rsidRPr="00C40895">
        <w:t>to</w:t>
      </w:r>
      <w:r w:rsidR="00E92942" w:rsidRPr="00C40895">
        <w:t xml:space="preserve"> </w:t>
      </w:r>
      <w:r w:rsidR="00AF470B" w:rsidRPr="00C40895">
        <w:t>explore</w:t>
      </w:r>
      <w:r w:rsidR="00E92942" w:rsidRPr="00C40895">
        <w:t xml:space="preserve"> the kind of communication </w:t>
      </w:r>
      <w:r w:rsidR="007218CD" w:rsidRPr="00C40895">
        <w:t>class that would focus on psychology, empathy etc.</w:t>
      </w:r>
    </w:p>
    <w:p w:rsidR="001B3377" w:rsidRPr="00C40895" w:rsidRDefault="001B3377" w:rsidP="00C40895">
      <w:pPr>
        <w:pStyle w:val="Subtitle"/>
        <w:jc w:val="both"/>
      </w:pPr>
      <w:r w:rsidRPr="00C40895">
        <w:t>A</w:t>
      </w:r>
      <w:r w:rsidR="00C40895" w:rsidRPr="00C40895">
        <w:t>AT O</w:t>
      </w:r>
      <w:r w:rsidRPr="00C40895">
        <w:t>fferings</w:t>
      </w:r>
    </w:p>
    <w:p w:rsidR="007218CD" w:rsidRPr="00C40895" w:rsidRDefault="001B3377" w:rsidP="00C40895">
      <w:pPr>
        <w:jc w:val="both"/>
      </w:pPr>
      <w:r w:rsidRPr="00C40895">
        <w:t xml:space="preserve">Dawn </w:t>
      </w:r>
      <w:r w:rsidR="007218CD" w:rsidRPr="00C40895">
        <w:t>noted that the</w:t>
      </w:r>
      <w:r w:rsidRPr="00C40895">
        <w:t xml:space="preserve"> </w:t>
      </w:r>
      <w:r w:rsidR="00AF470B" w:rsidRPr="00C40895">
        <w:t>AAT has</w:t>
      </w:r>
      <w:r w:rsidR="00C40895" w:rsidRPr="00C40895">
        <w:t xml:space="preserve"> been offered for seven years. </w:t>
      </w:r>
      <w:r w:rsidR="007218CD" w:rsidRPr="00C40895">
        <w:t xml:space="preserve">The current plan is to potentially </w:t>
      </w:r>
      <w:r w:rsidR="00AF470B" w:rsidRPr="00C40895">
        <w:t>develop</w:t>
      </w:r>
      <w:r w:rsidR="007218CD" w:rsidRPr="00C40895">
        <w:t xml:space="preserve"> a capstone class for the AAT to increase contact with students who take the management classes on the main campus. </w:t>
      </w:r>
      <w:r w:rsidR="008350BA" w:rsidRPr="00C40895">
        <w:t xml:space="preserve">This will also provide an option </w:t>
      </w:r>
      <w:r w:rsidR="00AF470B" w:rsidRPr="00C40895">
        <w:t>for</w:t>
      </w:r>
      <w:r w:rsidR="008350BA" w:rsidRPr="00C40895">
        <w:t xml:space="preserve"> evaluating outcomes.</w:t>
      </w:r>
    </w:p>
    <w:p w:rsidR="008350BA" w:rsidRPr="00C40895" w:rsidRDefault="008350BA" w:rsidP="00C40895">
      <w:pPr>
        <w:jc w:val="both"/>
        <w:rPr>
          <w:i/>
        </w:rPr>
      </w:pPr>
      <w:r w:rsidRPr="00C40895">
        <w:rPr>
          <w:i/>
        </w:rPr>
        <w:t>Bob made a motion supporting the addition of the capstone class to the AAT; this was seconded by Derrick and passed unanimously.</w:t>
      </w:r>
    </w:p>
    <w:p w:rsidR="008350BA" w:rsidRPr="00C40895" w:rsidRDefault="008350BA" w:rsidP="00C40895">
      <w:pPr>
        <w:jc w:val="both"/>
      </w:pPr>
      <w:r w:rsidRPr="00C40895">
        <w:t xml:space="preserve">Dawn then asked </w:t>
      </w:r>
      <w:r w:rsidR="00AF470B" w:rsidRPr="00C40895">
        <w:t>for</w:t>
      </w:r>
      <w:r w:rsidRPr="00C40895">
        <w:t xml:space="preserve"> feedback on other classes </w:t>
      </w:r>
      <w:r w:rsidR="00BD5CB6" w:rsidRPr="00C40895">
        <w:t>that could be developed: Brenda</w:t>
      </w:r>
      <w:r w:rsidRPr="00C40895">
        <w:t xml:space="preserve"> asked</w:t>
      </w:r>
      <w:r w:rsidR="00BD5CB6" w:rsidRPr="00C40895">
        <w:t xml:space="preserve"> if there were any plans to include training on how </w:t>
      </w:r>
      <w:r w:rsidR="00AF470B" w:rsidRPr="00C40895">
        <w:t>to</w:t>
      </w:r>
      <w:r w:rsidR="00BD5CB6" w:rsidRPr="00C40895">
        <w:t xml:space="preserve"> perform vaccinations?  Dawn noted that that is an aspect included in </w:t>
      </w:r>
      <w:r w:rsidR="00BD5CB6" w:rsidRPr="00C40895">
        <w:lastRenderedPageBreak/>
        <w:t xml:space="preserve">ASHP </w:t>
      </w:r>
      <w:r w:rsidR="00AF470B" w:rsidRPr="00C40895">
        <w:t>curriculum</w:t>
      </w:r>
      <w:r w:rsidR="00D41AE7">
        <w:t xml:space="preserve">, and she could foresee Pharm </w:t>
      </w:r>
      <w:r w:rsidR="00BD5CB6" w:rsidRPr="00C40895">
        <w:t xml:space="preserve">Tech students working with Nursing students to learn that skill. </w:t>
      </w:r>
    </w:p>
    <w:p w:rsidR="00BD5CB6" w:rsidRPr="00C40895" w:rsidRDefault="00BD5CB6" w:rsidP="00C40895">
      <w:pPr>
        <w:jc w:val="both"/>
      </w:pPr>
      <w:r w:rsidRPr="00C40895">
        <w:t>The committee also discussed the importance of including management skills related to attitude, leadership and customer service.</w:t>
      </w:r>
    </w:p>
    <w:p w:rsidR="00EB2B1A" w:rsidRPr="00C40895" w:rsidRDefault="00EB2B1A" w:rsidP="00C40895">
      <w:pPr>
        <w:pStyle w:val="Subtitle"/>
        <w:jc w:val="both"/>
      </w:pPr>
      <w:r w:rsidRPr="00C40895">
        <w:t>ASHP Updates</w:t>
      </w:r>
    </w:p>
    <w:p w:rsidR="00EB2B1A" w:rsidRPr="00C40895" w:rsidRDefault="00BD5CB6" w:rsidP="00C40895">
      <w:pPr>
        <w:jc w:val="both"/>
      </w:pPr>
      <w:r w:rsidRPr="00C40895">
        <w:t xml:space="preserve">There is still a delay in the timeline for the ASHP accreditation process: Dawn will </w:t>
      </w:r>
      <w:r w:rsidR="00D41AE7" w:rsidRPr="00C40895">
        <w:t>continue</w:t>
      </w:r>
      <w:r w:rsidRPr="00C40895">
        <w:t xml:space="preserve"> to review and ensure credit allocation aligns with expectations.</w:t>
      </w:r>
    </w:p>
    <w:p w:rsidR="008F06BC" w:rsidRPr="00C40895" w:rsidRDefault="00C40895" w:rsidP="00C40895">
      <w:pPr>
        <w:pStyle w:val="Subtitle"/>
        <w:jc w:val="both"/>
      </w:pPr>
      <w:r>
        <w:t>Lab R</w:t>
      </w:r>
      <w:r w:rsidR="003C0C8B" w:rsidRPr="00C40895">
        <w:t>atios</w:t>
      </w:r>
    </w:p>
    <w:p w:rsidR="00BD5CB6" w:rsidRPr="00C40895" w:rsidRDefault="00BD5CB6" w:rsidP="00C40895">
      <w:pPr>
        <w:jc w:val="both"/>
      </w:pPr>
      <w:r w:rsidRPr="00C40895">
        <w:t xml:space="preserve">Caytlyn outlined the current </w:t>
      </w:r>
      <w:r w:rsidR="00D41AE7" w:rsidRPr="00C40895">
        <w:t>ratio</w:t>
      </w:r>
      <w:r w:rsidRPr="00C40895">
        <w:t xml:space="preserve">, which is 12 students per instructor, which is causing limitations to learning and equipment: she proposed a change to a ratio of 8 to 1 which will allow students more individual time with the systems and interaction with different aspects of the pharmacy setting. </w:t>
      </w:r>
    </w:p>
    <w:p w:rsidR="003C0C8B" w:rsidRPr="00C40895" w:rsidRDefault="00BD5CB6" w:rsidP="00C40895">
      <w:pPr>
        <w:jc w:val="both"/>
      </w:pPr>
      <w:r w:rsidRPr="00C40895">
        <w:t>Chris continued that there is continued difficulty in moving 12 students through one work station.</w:t>
      </w:r>
    </w:p>
    <w:p w:rsidR="00AC43EF" w:rsidRPr="00C40895" w:rsidRDefault="00BD5CB6" w:rsidP="00C40895">
      <w:pPr>
        <w:jc w:val="both"/>
      </w:pPr>
      <w:r w:rsidRPr="00C40895">
        <w:t>The physical size of the classroom remain</w:t>
      </w:r>
      <w:r w:rsidR="00D41AE7">
        <w:t>s</w:t>
      </w:r>
      <w:bookmarkStart w:id="0" w:name="_GoBack"/>
      <w:bookmarkEnd w:id="0"/>
      <w:r w:rsidRPr="00C40895">
        <w:t xml:space="preserve"> a barrier, so even additional equipment would not necessarily alleviate the issue. </w:t>
      </w:r>
      <w:r w:rsidR="00F20680" w:rsidRPr="00C40895">
        <w:t xml:space="preserve">Dawn </w:t>
      </w:r>
      <w:r w:rsidRPr="00C40895">
        <w:t>noted that the</w:t>
      </w:r>
      <w:r w:rsidR="00F20680" w:rsidRPr="00C40895">
        <w:t xml:space="preserve"> consequence</w:t>
      </w:r>
      <w:r w:rsidRPr="00C40895">
        <w:t xml:space="preserve"> of changing the ratio would be the creation of an addition</w:t>
      </w:r>
      <w:r w:rsidR="00AC43EF" w:rsidRPr="00C40895">
        <w:t>al</w:t>
      </w:r>
      <w:r w:rsidRPr="00C40895">
        <w:t xml:space="preserve"> section</w:t>
      </w:r>
      <w:r w:rsidR="00AC43EF" w:rsidRPr="00C40895">
        <w:t xml:space="preserve"> (from 2 to 3) which would incur more cost for </w:t>
      </w:r>
      <w:r w:rsidR="00D41AE7" w:rsidRPr="00C40895">
        <w:t>Instruction</w:t>
      </w:r>
      <w:r w:rsidR="00AC43EF" w:rsidRPr="00C40895">
        <w:t>.</w:t>
      </w:r>
    </w:p>
    <w:p w:rsidR="00AC43EF" w:rsidRPr="00C40895" w:rsidRDefault="00AC43EF" w:rsidP="00C40895">
      <w:pPr>
        <w:jc w:val="both"/>
        <w:rPr>
          <w:i/>
        </w:rPr>
      </w:pPr>
      <w:r w:rsidRPr="00C40895">
        <w:rPr>
          <w:i/>
        </w:rPr>
        <w:t xml:space="preserve">Matt made a motion to support the </w:t>
      </w:r>
      <w:r w:rsidR="00D41AE7" w:rsidRPr="00C40895">
        <w:rPr>
          <w:i/>
        </w:rPr>
        <w:t>proposed</w:t>
      </w:r>
      <w:r w:rsidRPr="00C40895">
        <w:rPr>
          <w:i/>
        </w:rPr>
        <w:t xml:space="preserve"> change of ration to 8 </w:t>
      </w:r>
      <w:r w:rsidR="00D41AE7" w:rsidRPr="00C40895">
        <w:rPr>
          <w:i/>
        </w:rPr>
        <w:t>students</w:t>
      </w:r>
      <w:r w:rsidRPr="00C40895">
        <w:rPr>
          <w:i/>
        </w:rPr>
        <w:t xml:space="preserve"> for each </w:t>
      </w:r>
      <w:r w:rsidR="00D41AE7" w:rsidRPr="00C40895">
        <w:rPr>
          <w:i/>
        </w:rPr>
        <w:t>instructor</w:t>
      </w:r>
      <w:r w:rsidRPr="00C40895">
        <w:rPr>
          <w:i/>
        </w:rPr>
        <w:t xml:space="preserve">.  This was </w:t>
      </w:r>
      <w:r w:rsidR="00D41AE7" w:rsidRPr="00C40895">
        <w:rPr>
          <w:i/>
        </w:rPr>
        <w:t>seconded</w:t>
      </w:r>
      <w:r w:rsidRPr="00C40895">
        <w:rPr>
          <w:i/>
        </w:rPr>
        <w:t xml:space="preserve"> by Bob and passed unanimously.</w:t>
      </w:r>
    </w:p>
    <w:p w:rsidR="00436D48" w:rsidRPr="00C40895" w:rsidRDefault="00B76E89" w:rsidP="00C40895">
      <w:pPr>
        <w:pStyle w:val="Subtitle"/>
        <w:jc w:val="both"/>
      </w:pPr>
      <w:r w:rsidRPr="00C40895">
        <w:t>Outcomes A</w:t>
      </w:r>
      <w:r w:rsidR="00F86DB8" w:rsidRPr="00C40895">
        <w:t>ssessment</w:t>
      </w:r>
    </w:p>
    <w:p w:rsidR="00B76E89" w:rsidRPr="00C40895" w:rsidRDefault="00B76E89" w:rsidP="00C40895">
      <w:pPr>
        <w:jc w:val="both"/>
      </w:pPr>
      <w:r w:rsidRPr="00C40895">
        <w:t xml:space="preserve">Dawn shared that since the previous Advisory meeting </w:t>
      </w:r>
      <w:r w:rsidR="00D41AE7" w:rsidRPr="00C40895">
        <w:t>discussion</w:t>
      </w:r>
      <w:r w:rsidRPr="00C40895">
        <w:t xml:space="preserve">, the competency packet has been updated with Introductory, </w:t>
      </w:r>
      <w:r w:rsidR="00D41AE7" w:rsidRPr="00C40895">
        <w:t>Developing</w:t>
      </w:r>
      <w:r w:rsidRPr="00C40895">
        <w:t xml:space="preserve"> and Mastery </w:t>
      </w:r>
      <w:r w:rsidR="00D41AE7" w:rsidRPr="00C40895">
        <w:t>categories</w:t>
      </w:r>
      <w:r w:rsidRPr="00C40895">
        <w:t xml:space="preserve"> for student evaluation. The end section also includes </w:t>
      </w:r>
      <w:r w:rsidR="00D41AE7" w:rsidRPr="00C40895">
        <w:t>behavioral</w:t>
      </w:r>
      <w:r w:rsidRPr="00C40895">
        <w:t xml:space="preserve"> </w:t>
      </w:r>
      <w:r w:rsidR="00D41AE7" w:rsidRPr="00C40895">
        <w:t>competencies</w:t>
      </w:r>
      <w:r w:rsidRPr="00C40895">
        <w:t xml:space="preserve">. </w:t>
      </w:r>
    </w:p>
    <w:p w:rsidR="00B76E89" w:rsidRPr="00C40895" w:rsidRDefault="00B76E89" w:rsidP="00C40895">
      <w:pPr>
        <w:jc w:val="both"/>
      </w:pPr>
      <w:r w:rsidRPr="00C40895">
        <w:t xml:space="preserve">Heidi continued that the aim was to match the evaluation of the student practicum with </w:t>
      </w:r>
      <w:r w:rsidR="00D41AE7" w:rsidRPr="00C40895">
        <w:t>outcomes</w:t>
      </w:r>
      <w:r w:rsidRPr="00C40895">
        <w:t xml:space="preserve">, and also to give clinical sites a space for comments. Students will be assessed as either satisfactory or non-satisfactory. </w:t>
      </w:r>
    </w:p>
    <w:p w:rsidR="004165A8" w:rsidRPr="00C40895" w:rsidRDefault="004165A8" w:rsidP="00C40895">
      <w:pPr>
        <w:jc w:val="both"/>
      </w:pPr>
      <w:r w:rsidRPr="00C40895">
        <w:t xml:space="preserve">Dawn also noted that the ASHP has increasingly stringent </w:t>
      </w:r>
      <w:r w:rsidR="0039705C" w:rsidRPr="00C40895">
        <w:t>expectations</w:t>
      </w:r>
      <w:r w:rsidRPr="00C40895">
        <w:t xml:space="preserve"> regarding </w:t>
      </w:r>
      <w:r w:rsidR="0039705C" w:rsidRPr="00C40895">
        <w:t xml:space="preserve">preceptor requirements, and this may necessitate the </w:t>
      </w:r>
      <w:r w:rsidR="00D41AE7" w:rsidRPr="00C40895">
        <w:t>Department</w:t>
      </w:r>
      <w:r w:rsidR="0039705C" w:rsidRPr="00C40895">
        <w:t xml:space="preserve"> </w:t>
      </w:r>
      <w:r w:rsidR="00D41AE7" w:rsidRPr="00C40895">
        <w:t>connecting</w:t>
      </w:r>
      <w:r w:rsidR="0039705C" w:rsidRPr="00C40895">
        <w:t xml:space="preserve"> with long-term sites </w:t>
      </w:r>
      <w:r w:rsidR="00D41AE7" w:rsidRPr="00C40895">
        <w:t>to</w:t>
      </w:r>
      <w:r w:rsidR="0039705C" w:rsidRPr="00C40895">
        <w:t xml:space="preserve"> clarify what is required. She will review the ASHP verbiage and continue to work </w:t>
      </w:r>
      <w:r w:rsidR="00D41AE7">
        <w:t>with</w:t>
      </w:r>
      <w:r w:rsidR="0039705C" w:rsidRPr="00C40895">
        <w:t xml:space="preserve"> mentors and placement leads.</w:t>
      </w:r>
    </w:p>
    <w:p w:rsidR="0039705C" w:rsidRPr="00C40895" w:rsidRDefault="0039705C" w:rsidP="00C40895">
      <w:pPr>
        <w:jc w:val="both"/>
      </w:pPr>
      <w:r w:rsidRPr="00C40895">
        <w:t>The meeting adjourned at 7.39pm</w:t>
      </w:r>
    </w:p>
    <w:p w:rsidR="009324BA" w:rsidRPr="00C40895" w:rsidRDefault="00C40895" w:rsidP="00C40895">
      <w:pPr>
        <w:jc w:val="right"/>
        <w:rPr>
          <w:sz w:val="18"/>
        </w:rPr>
      </w:pPr>
      <w:r w:rsidRPr="00C40895">
        <w:rPr>
          <w:sz w:val="18"/>
        </w:rPr>
        <w:t>Prepared by Nichola Farron</w:t>
      </w:r>
    </w:p>
    <w:p w:rsidR="001E376C" w:rsidRDefault="001E376C" w:rsidP="00C40895">
      <w:pPr>
        <w:jc w:val="both"/>
      </w:pPr>
    </w:p>
    <w:p w:rsidR="001E376C" w:rsidRDefault="001E376C" w:rsidP="00C40895">
      <w:pPr>
        <w:jc w:val="both"/>
      </w:pPr>
    </w:p>
    <w:p w:rsidR="00B91932" w:rsidRDefault="00B91932" w:rsidP="00C40895">
      <w:pPr>
        <w:jc w:val="both"/>
      </w:pPr>
    </w:p>
    <w:p w:rsidR="001B3377" w:rsidRDefault="001B3377"/>
    <w:sectPr w:rsidR="001B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6547B"/>
    <w:rsid w:val="00097BD0"/>
    <w:rsid w:val="000D24EE"/>
    <w:rsid w:val="001B3377"/>
    <w:rsid w:val="001D7FCC"/>
    <w:rsid w:val="001E376C"/>
    <w:rsid w:val="001F7938"/>
    <w:rsid w:val="00285A0A"/>
    <w:rsid w:val="002973A2"/>
    <w:rsid w:val="002A263E"/>
    <w:rsid w:val="002A6084"/>
    <w:rsid w:val="002C00EF"/>
    <w:rsid w:val="002C72E4"/>
    <w:rsid w:val="00340769"/>
    <w:rsid w:val="00373A41"/>
    <w:rsid w:val="0039705C"/>
    <w:rsid w:val="003C0C8B"/>
    <w:rsid w:val="003C730C"/>
    <w:rsid w:val="004165A8"/>
    <w:rsid w:val="00436D48"/>
    <w:rsid w:val="00437D15"/>
    <w:rsid w:val="004479BC"/>
    <w:rsid w:val="00451AA4"/>
    <w:rsid w:val="004530A6"/>
    <w:rsid w:val="00484027"/>
    <w:rsid w:val="004B3134"/>
    <w:rsid w:val="00500D10"/>
    <w:rsid w:val="005A769C"/>
    <w:rsid w:val="005B751A"/>
    <w:rsid w:val="005F6080"/>
    <w:rsid w:val="006079DC"/>
    <w:rsid w:val="00636408"/>
    <w:rsid w:val="00677C32"/>
    <w:rsid w:val="006807AB"/>
    <w:rsid w:val="00681DD6"/>
    <w:rsid w:val="00683066"/>
    <w:rsid w:val="00692B1B"/>
    <w:rsid w:val="006D4107"/>
    <w:rsid w:val="00701DDC"/>
    <w:rsid w:val="0070775F"/>
    <w:rsid w:val="007218CD"/>
    <w:rsid w:val="007333C6"/>
    <w:rsid w:val="00794372"/>
    <w:rsid w:val="007C27AB"/>
    <w:rsid w:val="008131FA"/>
    <w:rsid w:val="008350BA"/>
    <w:rsid w:val="00851901"/>
    <w:rsid w:val="00852694"/>
    <w:rsid w:val="008742B7"/>
    <w:rsid w:val="00882955"/>
    <w:rsid w:val="008966C6"/>
    <w:rsid w:val="008A1D9F"/>
    <w:rsid w:val="008C7D77"/>
    <w:rsid w:val="008E6E58"/>
    <w:rsid w:val="008F06BC"/>
    <w:rsid w:val="009324BA"/>
    <w:rsid w:val="00961EB2"/>
    <w:rsid w:val="009D5ACD"/>
    <w:rsid w:val="009D5D3C"/>
    <w:rsid w:val="00A60F33"/>
    <w:rsid w:val="00A62827"/>
    <w:rsid w:val="00A65CC8"/>
    <w:rsid w:val="00AC43EF"/>
    <w:rsid w:val="00AF470B"/>
    <w:rsid w:val="00B15CF9"/>
    <w:rsid w:val="00B76E89"/>
    <w:rsid w:val="00B91932"/>
    <w:rsid w:val="00BC1C41"/>
    <w:rsid w:val="00BC6C66"/>
    <w:rsid w:val="00BD5CB6"/>
    <w:rsid w:val="00BE312F"/>
    <w:rsid w:val="00C40895"/>
    <w:rsid w:val="00CA4C48"/>
    <w:rsid w:val="00D41AE7"/>
    <w:rsid w:val="00DF2D22"/>
    <w:rsid w:val="00E22ABF"/>
    <w:rsid w:val="00E33B80"/>
    <w:rsid w:val="00E36840"/>
    <w:rsid w:val="00E84A45"/>
    <w:rsid w:val="00E92942"/>
    <w:rsid w:val="00EB2B1A"/>
    <w:rsid w:val="00EC4F0D"/>
    <w:rsid w:val="00EC6D29"/>
    <w:rsid w:val="00F029A4"/>
    <w:rsid w:val="00F20680"/>
    <w:rsid w:val="00F33E05"/>
    <w:rsid w:val="00F73B01"/>
    <w:rsid w:val="00F86DB8"/>
    <w:rsid w:val="00FC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FDA0"/>
  <w15:chartTrackingRefBased/>
  <w15:docId w15:val="{C9305A2E-20EE-48BE-A30F-7FB0A8D6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100</cp:revision>
  <dcterms:created xsi:type="dcterms:W3CDTF">2017-10-27T00:35:00Z</dcterms:created>
  <dcterms:modified xsi:type="dcterms:W3CDTF">2017-12-12T00:31:00Z</dcterms:modified>
</cp:coreProperties>
</file>