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24100">
                              <w:rPr>
                                <w:sz w:val="24"/>
                              </w:rPr>
                              <w:t>PHARMACY TECHNICIAN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924100">
                              <w:rPr>
                                <w:color w:val="002060"/>
                                <w:sz w:val="24"/>
                              </w:rPr>
                              <w:t xml:space="preserve"> Thursday 28</w:t>
                            </w:r>
                            <w:r w:rsidR="00924100" w:rsidRPr="00924100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924100">
                              <w:rPr>
                                <w:color w:val="002060"/>
                                <w:sz w:val="24"/>
                              </w:rPr>
                              <w:t xml:space="preserve"> February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24100">
                              <w:rPr>
                                <w:color w:val="002060"/>
                                <w:sz w:val="24"/>
                              </w:rPr>
                              <w:t xml:space="preserve"> 6.00pm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924100">
                              <w:rPr>
                                <w:color w:val="002060"/>
                                <w:sz w:val="24"/>
                              </w:rPr>
                              <w:t xml:space="preserve"> CCW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24100">
                        <w:rPr>
                          <w:sz w:val="24"/>
                        </w:rPr>
                        <w:t>PHARMACY TECHNICIAN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924100">
                        <w:rPr>
                          <w:color w:val="002060"/>
                          <w:sz w:val="24"/>
                        </w:rPr>
                        <w:t xml:space="preserve"> Thursday 28</w:t>
                      </w:r>
                      <w:r w:rsidR="00924100" w:rsidRPr="00924100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924100">
                        <w:rPr>
                          <w:color w:val="002060"/>
                          <w:sz w:val="24"/>
                        </w:rPr>
                        <w:t xml:space="preserve"> February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24100">
                        <w:rPr>
                          <w:color w:val="002060"/>
                          <w:sz w:val="24"/>
                        </w:rPr>
                        <w:t xml:space="preserve"> 6.00pm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924100">
                        <w:rPr>
                          <w:color w:val="002060"/>
                          <w:sz w:val="24"/>
                        </w:rPr>
                        <w:t xml:space="preserve"> CCW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12" name="Picture 12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924100"/>
    <w:rsid w:val="00941B8B"/>
    <w:rsid w:val="00975D36"/>
    <w:rsid w:val="009F5EFE"/>
    <w:rsid w:val="00A326CE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198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Develop Physical &amp; Virtual Spaces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Meeting Administration</a:t>
          </a:r>
        </a:p>
        <a:p>
          <a:r>
            <a:rPr lang="en-US"/>
            <a:t>(5-10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Tour of Pharmacy Lab (this will form the basis of a committee disucssion later in the meeting) PLEASE MEET AT CCW 003 (PHARM TECH LAB):  Following the tour,we will head to meeting room in CCW 124.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Academic Plan Goal 3</a:t>
          </a:r>
        </a:p>
        <a:p>
          <a:r>
            <a:rPr lang="en-US" sz="900"/>
            <a:t>Improve student </a:t>
          </a:r>
        </a:p>
        <a:p>
          <a:r>
            <a:rPr lang="en-US" sz="900"/>
            <a:t>preparedness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ASHP Update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 3</a:t>
          </a:r>
        </a:p>
        <a:p>
          <a:r>
            <a:rPr lang="en-US" sz="900"/>
            <a:t>Improve student </a:t>
          </a:r>
        </a:p>
        <a:p>
          <a:r>
            <a:rPr lang="en-US" sz="900"/>
            <a:t>preparedness</a:t>
          </a:r>
        </a:p>
        <a:p>
          <a:endParaRPr lang="en-US" sz="500"/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Equipment Needs - Committee dicussion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5</a:t>
          </a:r>
        </a:p>
        <a:p>
          <a:r>
            <a:rPr lang="en-US"/>
            <a:t>Integrate Active Learning Strategies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Interprofessional Healthy Penguin Walkabout Day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Y="31566" custLinFactNeighborX="725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Y="-33399" custLinFactNeighborX="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4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Develop Physical &amp; Virtual Spaces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598126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1307869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(5-10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-65996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Tour of Pharmacy Lab (this will form the basis of a committee disucssion later in the meeting) PLEASE MEET AT CCW 003 (PHARM TECH LAB):  Following the tour,we will head to meeting room in CCW 124.</a:t>
          </a:r>
        </a:p>
      </dsp:txBody>
      <dsp:txXfrm rot="-5400000">
        <a:off x="1027337" y="49774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Improve student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preparedness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ASHP Update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Improve student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preparedness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Equipment Needs - Committee dicussion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5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Integrate Active Learning Strategies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Interprofessional Healthy Penguin Walkabout Day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2017-02-18T00:30:00Z</dcterms:created>
  <dcterms:modified xsi:type="dcterms:W3CDTF">2017-02-18T00:48:00Z</dcterms:modified>
</cp:coreProperties>
</file>