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Committee:</w:t>
                            </w:r>
                            <w:r w:rsidRPr="007D508B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D508B" w:rsidRPr="007D508B">
                              <w:rPr>
                                <w:b/>
                                <w:color w:val="002060"/>
                                <w:sz w:val="24"/>
                              </w:rPr>
                              <w:t>Professional Baking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D508B" w:rsidRPr="007D508B">
                              <w:rPr>
                                <w:b/>
                                <w:color w:val="002060"/>
                                <w:sz w:val="24"/>
                              </w:rPr>
                              <w:t>Tuesday, November 6,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D508B" w:rsidRPr="007D508B">
                              <w:rPr>
                                <w:b/>
                                <w:color w:val="002060"/>
                                <w:sz w:val="24"/>
                              </w:rPr>
                              <w:t>2:30-4:30pm</w:t>
                            </w:r>
                          </w:p>
                          <w:p w:rsidR="00AC4887" w:rsidRPr="007D508B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D508B" w:rsidRPr="007D508B">
                              <w:rPr>
                                <w:b/>
                                <w:color w:val="002060"/>
                                <w:sz w:val="24"/>
                              </w:rPr>
                              <w:t>GHL 213 (Gaiser Hall)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Committee:</w:t>
                      </w:r>
                      <w:r w:rsidRPr="007D508B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7D508B" w:rsidRPr="007D508B">
                        <w:rPr>
                          <w:b/>
                          <w:color w:val="002060"/>
                          <w:sz w:val="24"/>
                        </w:rPr>
                        <w:t>Professional Baking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D508B" w:rsidRPr="007D508B">
                        <w:rPr>
                          <w:b/>
                          <w:color w:val="002060"/>
                          <w:sz w:val="24"/>
                        </w:rPr>
                        <w:t>Tuesday, November 6,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D508B" w:rsidRPr="007D508B">
                        <w:rPr>
                          <w:b/>
                          <w:color w:val="002060"/>
                          <w:sz w:val="24"/>
                        </w:rPr>
                        <w:t>2:30-4:30pm</w:t>
                      </w:r>
                    </w:p>
                    <w:p w:rsidR="00AC4887" w:rsidRPr="007D508B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D508B" w:rsidRPr="007D508B">
                        <w:rPr>
                          <w:b/>
                          <w:color w:val="002060"/>
                          <w:sz w:val="24"/>
                        </w:rPr>
                        <w:t>GHL 213 (Gaiser Hall)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17655"/>
    <w:rsid w:val="0056070E"/>
    <w:rsid w:val="00643CCF"/>
    <w:rsid w:val="00692D39"/>
    <w:rsid w:val="006D76E1"/>
    <w:rsid w:val="006F2E5B"/>
    <w:rsid w:val="007D508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F273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Interview for hiring a full-time faculty for winter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Students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St. Honore Tour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BDEC8C66-CE68-43AF-8C9F-C378E7B57B35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Not yet ready for a fall start </a:t>
          </a:r>
        </a:p>
      </dgm:t>
    </dgm:pt>
    <dgm:pt modelId="{56D87481-3698-4B39-AD20-16E71C1B365F}" type="parTrans" cxnId="{E46080F3-F05F-4578-9EA5-E6DF9037CD94}">
      <dgm:prSet/>
      <dgm:spPr/>
    </dgm:pt>
    <dgm:pt modelId="{0C39C4BE-8F1C-441E-AB0C-715B4FE5BA27}" type="sibTrans" cxnId="{E46080F3-F05F-4578-9EA5-E6DF9037CD94}">
      <dgm:prSet/>
      <dgm:spPr/>
    </dgm:pt>
    <dgm:pt modelId="{69276103-7337-4491-9C7E-84BDB8DBFF34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Internships for Spring - 2nd Year, 18 Students Looking  </a:t>
          </a:r>
        </a:p>
      </dgm:t>
    </dgm:pt>
    <dgm:pt modelId="{829E1851-2F78-4868-9320-1416A648A766}" type="parTrans" cxnId="{345753B2-BF30-4F8E-AC61-EE347A8DF85D}">
      <dgm:prSet/>
      <dgm:spPr/>
    </dgm:pt>
    <dgm:pt modelId="{2BC07C24-CF1B-4BD8-9518-E8A9DD5CDE0B}" type="sibTrans" cxnId="{345753B2-BF30-4F8E-AC61-EE347A8DF85D}">
      <dgm:prSet/>
      <dgm:spPr/>
    </dgm:pt>
    <dgm:pt modelId="{0AC6A5F3-C88E-40D4-931B-6383CE8820F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Boosting Enrollment</a:t>
          </a:r>
        </a:p>
      </dgm:t>
    </dgm:pt>
    <dgm:pt modelId="{50ABA5E5-3493-4AF8-BF66-EAB485F5420C}" type="parTrans" cxnId="{5135BE38-5ED2-44FD-ADC3-1E420BE15680}">
      <dgm:prSet/>
      <dgm:spPr/>
    </dgm:pt>
    <dgm:pt modelId="{E2B6046D-F056-4B67-9182-E629A63D5445}" type="sibTrans" cxnId="{5135BE38-5ED2-44FD-ADC3-1E420BE15680}">
      <dgm:prSet/>
      <dgm:spPr/>
    </dgm:pt>
    <dgm:pt modelId="{0C02BCF5-3B2A-4EAB-BCAF-E9854BA6F682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Replacing Equipment - Bongard </a:t>
          </a:r>
        </a:p>
      </dgm:t>
    </dgm:pt>
    <dgm:pt modelId="{FCD563C2-8D30-413B-BC58-B066509E1978}" type="parTrans" cxnId="{FAFA2639-E85A-4D8A-BD7A-55E3435F6873}">
      <dgm:prSet/>
      <dgm:spPr/>
    </dgm:pt>
    <dgm:pt modelId="{AB1A75E6-93B7-4B93-9318-2D24BB9D98B7}" type="sibTrans" cxnId="{FAFA2639-E85A-4D8A-BD7A-55E3435F6873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E46080F3-F05F-4578-9EA5-E6DF9037CD94}" srcId="{ADAD486B-CE2A-4C46-A3F5-1E590E2E08B6}" destId="{BDEC8C66-CE68-43AF-8C9F-C378E7B57B35}" srcOrd="0" destOrd="0" parTransId="{56D87481-3698-4B39-AD20-16E71C1B365F}" sibTransId="{0C39C4BE-8F1C-441E-AB0C-715B4FE5BA27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5135BE38-5ED2-44FD-ADC3-1E420BE15680}" srcId="{591F15E3-932E-4B4C-9E30-D153813EC974}" destId="{0AC6A5F3-C88E-40D4-931B-6383CE8820FE}" srcOrd="1" destOrd="0" parTransId="{50ABA5E5-3493-4AF8-BF66-EAB485F5420C}" sibTransId="{E2B6046D-F056-4B67-9182-E629A63D5445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D02B101-BEE0-4DBF-A35B-C51E1D6F4CAF}" type="presOf" srcId="{0AC6A5F3-C88E-40D4-931B-6383CE8820FE}" destId="{6FC5D01E-A6F5-429A-A224-7D89ADC33467}" srcOrd="0" destOrd="2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FAFA2639-E85A-4D8A-BD7A-55E3435F6873}" srcId="{72E55F10-22BC-402D-96DD-D99F1909E38E}" destId="{0C02BCF5-3B2A-4EAB-BCAF-E9854BA6F682}" srcOrd="1" destOrd="0" parTransId="{FCD563C2-8D30-413B-BC58-B066509E1978}" sibTransId="{AB1A75E6-93B7-4B93-9318-2D24BB9D98B7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73CFB873-A4EC-4933-BA5D-B527194E4874}" type="presOf" srcId="{69276103-7337-4491-9C7E-84BDB8DBFF34}" destId="{6FC5D01E-A6F5-429A-A224-7D89ADC33467}" srcOrd="0" destOrd="1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47A07822-44A1-49F1-ABFA-E6AA11ABCF09}" type="presOf" srcId="{BDEC8C66-CE68-43AF-8C9F-C378E7B57B35}" destId="{1EF62C01-0156-4468-BC5B-2900BBD37D44}" srcOrd="0" destOrd="1" presId="urn:microsoft.com/office/officeart/2005/8/layout/chevron2"/>
    <dgm:cxn modelId="{345753B2-BF30-4F8E-AC61-EE347A8DF85D}" srcId="{89765614-4658-496A-9278-209F2203F336}" destId="{69276103-7337-4491-9C7E-84BDB8DBFF34}" srcOrd="0" destOrd="0" parTransId="{829E1851-2F78-4868-9320-1416A648A766}" sibTransId="{2BC07C24-CF1B-4BD8-9518-E8A9DD5CDE0B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752E76D5-FB0C-44FB-9D97-F5B9FDCF7499}" type="presOf" srcId="{0C02BCF5-3B2A-4EAB-BCAF-E9854BA6F682}" destId="{3254FC70-3A29-42BE-B134-91D011129504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Interview for hiring a full-time faculty for winter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Not yet ready for a fall start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Students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Internships for Spring - 2nd Year, 18 Students Looking 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Boosting Enrollment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St. Honore Tour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Replacing Equipment - Bongard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2018-11-05T17:59:00Z</dcterms:created>
  <dcterms:modified xsi:type="dcterms:W3CDTF">2018-11-05T18:00:00Z</dcterms:modified>
</cp:coreProperties>
</file>