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Nursing </w:t>
                            </w:r>
                            <w:r w:rsidR="001A397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Education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Monday, October 15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CCW 122 and 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 xml:space="preserve">Nursing </w:t>
                      </w:r>
                      <w:r w:rsidR="001A3970" w:rsidRPr="00CE5483">
                        <w:rPr>
                          <w:b/>
                          <w:color w:val="002060"/>
                          <w:sz w:val="24"/>
                        </w:rPr>
                        <w:t>Education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Monday, October 15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>CCW 122 and 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56" w:rsidRDefault="00C53256" w:rsidP="00AC4887">
      <w:pPr>
        <w:spacing w:after="0" w:line="240" w:lineRule="auto"/>
      </w:pPr>
      <w:r>
        <w:separator/>
      </w:r>
    </w:p>
  </w:endnote>
  <w:endnote w:type="continuationSeparator" w:id="0">
    <w:p w:rsidR="00C53256" w:rsidRDefault="00C5325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56" w:rsidRDefault="00C53256" w:rsidP="00AC4887">
      <w:pPr>
        <w:spacing w:after="0" w:line="240" w:lineRule="auto"/>
      </w:pPr>
      <w:r>
        <w:separator/>
      </w:r>
    </w:p>
  </w:footnote>
  <w:footnote w:type="continuationSeparator" w:id="0">
    <w:p w:rsidR="00C53256" w:rsidRDefault="00C5325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E54A0"/>
    <w:rsid w:val="001127EA"/>
    <w:rsid w:val="001A3970"/>
    <w:rsid w:val="004963F8"/>
    <w:rsid w:val="0056070E"/>
    <w:rsid w:val="005B5F41"/>
    <w:rsid w:val="00643CCF"/>
    <w:rsid w:val="00673E6F"/>
    <w:rsid w:val="00692D39"/>
    <w:rsid w:val="006D76E1"/>
    <w:rsid w:val="006F2E5B"/>
    <w:rsid w:val="00975D36"/>
    <w:rsid w:val="009B019F"/>
    <w:rsid w:val="009F5EFE"/>
    <w:rsid w:val="00AC4887"/>
    <w:rsid w:val="00BA48D4"/>
    <w:rsid w:val="00C53256"/>
    <w:rsid w:val="00CE5483"/>
    <w:rsid w:val="00E4085C"/>
    <w:rsid w:val="00F73761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15 mins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Economic Vitality</a:t>
          </a:r>
        </a:p>
        <a:p>
          <a:r>
            <a:rPr lang="en-US"/>
            <a:t>15 mins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Accreditation Reminder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Improve Student Preparedness</a:t>
          </a:r>
        </a:p>
        <a:p>
          <a:r>
            <a:rPr lang="en-US"/>
            <a:t>15 mins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Curriculum Revision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60 mins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Outcomes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Align with Workforce and Community Needs</a:t>
          </a:r>
        </a:p>
        <a:p>
          <a:r>
            <a:rPr lang="en-US"/>
            <a:t>15 mins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Themes, trends or updates from partners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B57E9D5-FFF4-4551-B37B-B2DB5A0E8BA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Nursing Department Updates</a:t>
          </a:r>
        </a:p>
      </dgm:t>
    </dgm:pt>
    <dgm:pt modelId="{FD4BC082-9B23-4D80-9907-3ED17E145C6D}" type="parTrans" cxnId="{54B2A00F-64FF-42DB-8666-A0F17E2DF924}">
      <dgm:prSet/>
      <dgm:spPr/>
      <dgm:t>
        <a:bodyPr/>
        <a:lstStyle/>
        <a:p>
          <a:endParaRPr lang="en-US"/>
        </a:p>
      </dgm:t>
    </dgm:pt>
    <dgm:pt modelId="{F3C4C1D3-B57A-464E-BF28-8CB6D13DD6CD}" type="sibTrans" cxnId="{54B2A00F-64FF-42DB-8666-A0F17E2DF924}">
      <dgm:prSet/>
      <dgm:spPr/>
      <dgm:t>
        <a:bodyPr/>
        <a:lstStyle/>
        <a:p>
          <a:endParaRPr lang="en-US"/>
        </a:p>
      </dgm:t>
    </dgm:pt>
    <dgm:pt modelId="{E15F5E56-BE9D-4165-B079-E1CA6289B5F2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Budget Update and Faculty Shortage</a:t>
          </a:r>
        </a:p>
      </dgm:t>
    </dgm:pt>
    <dgm:pt modelId="{7D046855-818A-4718-BD19-9EAEA5F2A0B3}" type="parTrans" cxnId="{DE3D79B0-6D34-4C20-A84D-255FCD687C64}">
      <dgm:prSet/>
      <dgm:spPr/>
      <dgm:t>
        <a:bodyPr/>
        <a:lstStyle/>
        <a:p>
          <a:endParaRPr lang="en-US"/>
        </a:p>
      </dgm:t>
    </dgm:pt>
    <dgm:pt modelId="{6150A4A5-B617-44C4-AE75-D762E9C8F15B}" type="sibTrans" cxnId="{DE3D79B0-6D34-4C20-A84D-255FCD687C64}">
      <dgm:prSet/>
      <dgm:spPr/>
      <dgm:t>
        <a:bodyPr/>
        <a:lstStyle/>
        <a:p>
          <a:endParaRPr lang="en-US"/>
        </a:p>
      </dgm:t>
    </dgm:pt>
    <dgm:pt modelId="{0A28737B-DE4B-419B-8496-4B2E9F934559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64A2EE56-1639-4910-8635-A69E43EFE6A2}" type="parTrans" cxnId="{CB8D5326-F9CD-45BD-B6E1-523F89EDFF4F}">
      <dgm:prSet/>
      <dgm:spPr/>
      <dgm:t>
        <a:bodyPr/>
        <a:lstStyle/>
        <a:p>
          <a:endParaRPr lang="en-US"/>
        </a:p>
      </dgm:t>
    </dgm:pt>
    <dgm:pt modelId="{9828B3AF-52AF-43A0-B2C0-AFE1B957B0E3}" type="sibTrans" cxnId="{CB8D5326-F9CD-45BD-B6E1-523F89EDFF4F}">
      <dgm:prSet/>
      <dgm:spPr/>
      <dgm:t>
        <a:bodyPr/>
        <a:lstStyle/>
        <a:p>
          <a:endParaRPr lang="en-US"/>
        </a:p>
      </dgm:t>
    </dgm:pt>
    <dgm:pt modelId="{EC562B48-4214-4B80-AD02-27C9D4026824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No NAC Certification Required</a:t>
          </a:r>
        </a:p>
      </dgm:t>
    </dgm:pt>
    <dgm:pt modelId="{A133ECE3-27F2-4B80-96B8-F946A85B1BB2}" type="parTrans" cxnId="{0C37799F-B62A-4EC9-B12E-C326F1788BDC}">
      <dgm:prSet/>
      <dgm:spPr/>
      <dgm:t>
        <a:bodyPr/>
        <a:lstStyle/>
        <a:p>
          <a:endParaRPr lang="en-US"/>
        </a:p>
      </dgm:t>
    </dgm:pt>
    <dgm:pt modelId="{06B461E6-B10A-48FF-A0A2-76D7BAFDE8EB}" type="sibTrans" cxnId="{0C37799F-B62A-4EC9-B12E-C326F1788BDC}">
      <dgm:prSet/>
      <dgm:spPr/>
      <dgm:t>
        <a:bodyPr/>
        <a:lstStyle/>
        <a:p>
          <a:endParaRPr lang="en-US"/>
        </a:p>
      </dgm:t>
    </dgm:pt>
    <dgm:pt modelId="{19B1611F-9EE4-4FEF-A626-BCFDB3CD5459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Adjustments to first quarter curriculum and first year skills</a:t>
          </a:r>
        </a:p>
      </dgm:t>
    </dgm:pt>
    <dgm:pt modelId="{6081589E-4291-4D0B-8AD2-AE57F3AD25BA}" type="parTrans" cxnId="{C788A380-30C5-4A34-8923-C1C1A2152B1D}">
      <dgm:prSet/>
      <dgm:spPr/>
      <dgm:t>
        <a:bodyPr/>
        <a:lstStyle/>
        <a:p>
          <a:endParaRPr lang="en-US"/>
        </a:p>
      </dgm:t>
    </dgm:pt>
    <dgm:pt modelId="{C737623B-E9F4-4308-A0A4-E21E975B0FE1}" type="sibTrans" cxnId="{C788A380-30C5-4A34-8923-C1C1A2152B1D}">
      <dgm:prSet/>
      <dgm:spPr/>
      <dgm:t>
        <a:bodyPr/>
        <a:lstStyle/>
        <a:p>
          <a:endParaRPr lang="en-US"/>
        </a:p>
      </dgm:t>
    </dgm:pt>
    <dgm:pt modelId="{C15CA8C2-1FF6-42C5-AD8F-090072D511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Strategic Planning/Visioning Exercise</a:t>
          </a:r>
        </a:p>
      </dgm:t>
    </dgm:pt>
    <dgm:pt modelId="{0300A415-56AD-44E4-9DB7-62B539B094FA}" type="parTrans" cxnId="{6AFB876E-CBFB-4287-A236-FF5175C21666}">
      <dgm:prSet/>
      <dgm:spPr/>
      <dgm:t>
        <a:bodyPr/>
        <a:lstStyle/>
        <a:p>
          <a:endParaRPr lang="en-US"/>
        </a:p>
      </dgm:t>
    </dgm:pt>
    <dgm:pt modelId="{8AD8F024-7F98-496F-A07F-3D2E1B2A576A}" type="sibTrans" cxnId="{6AFB876E-CBFB-4287-A236-FF5175C21666}">
      <dgm:prSet/>
      <dgm:spPr/>
      <dgm:t>
        <a:bodyPr/>
        <a:lstStyle/>
        <a:p>
          <a:endParaRPr lang="en-US"/>
        </a:p>
      </dgm:t>
    </dgm:pt>
    <dgm:pt modelId="{E1228830-4CC4-42F2-A1CE-B96AD320D737}">
      <dgm:prSet phldrT="[Text]"/>
      <dgm:spPr/>
      <dgm:t>
        <a:bodyPr/>
        <a:lstStyle/>
        <a:p>
          <a:r>
            <a:rPr lang="en-US"/>
            <a:t>Election of Committee Leadership</a:t>
          </a:r>
        </a:p>
      </dgm:t>
    </dgm:pt>
    <dgm:pt modelId="{3AEA0064-301E-4DEB-AE98-F11FEF31721B}" type="parTrans" cxnId="{A8C91DAB-E8ED-4928-88FD-6738337E6DCD}">
      <dgm:prSet/>
      <dgm:spPr/>
      <dgm:t>
        <a:bodyPr/>
        <a:lstStyle/>
        <a:p>
          <a:endParaRPr lang="en-US"/>
        </a:p>
      </dgm:t>
    </dgm:pt>
    <dgm:pt modelId="{A8723FAB-815C-46D0-B1AC-C1187AA1AB92}" type="sibTrans" cxnId="{A8C91DAB-E8ED-4928-88FD-6738337E6DC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54B2A00F-64FF-42DB-8666-A0F17E2DF924}" srcId="{091FF8C8-6138-482D-A48A-7BCB4AD9DE07}" destId="{0B57E9D5-FFF4-4551-B37B-B2DB5A0E8BA2}" srcOrd="0" destOrd="0" parTransId="{FD4BC082-9B23-4D80-9907-3ED17E145C6D}" sibTransId="{F3C4C1D3-B57A-464E-BF28-8CB6D13DD6CD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FB5B4B9-C492-4F15-8050-9C9ED67CAE47}" type="presOf" srcId="{0A28737B-DE4B-419B-8496-4B2E9F934559}" destId="{1EF62C01-0156-4468-BC5B-2900BBD37D44}" srcOrd="0" destOrd="3" presId="urn:microsoft.com/office/officeart/2005/8/layout/chevron2"/>
    <dgm:cxn modelId="{BED3C30B-E58F-42EF-8D69-0C3E19BE2795}" type="presOf" srcId="{EC562B48-4214-4B80-AD02-27C9D4026824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6AFB876E-CBFB-4287-A236-FF5175C21666}" srcId="{72E55F10-22BC-402D-96DD-D99F1909E38E}" destId="{C15CA8C2-1FF6-42C5-AD8F-090072D51175}" srcOrd="1" destOrd="0" parTransId="{0300A415-56AD-44E4-9DB7-62B539B094FA}" sibTransId="{8AD8F024-7F98-496F-A07F-3D2E1B2A576A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09370C2A-4959-40F2-9DE2-4BA2C5B7672A}" type="presOf" srcId="{E15F5E56-BE9D-4165-B079-E1CA6289B5F2}" destId="{1EF62C01-0156-4468-BC5B-2900BBD37D44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CB8D5326-F9CD-45BD-B6E1-523F89EDFF4F}" srcId="{0B57E9D5-FFF4-4551-B37B-B2DB5A0E8BA2}" destId="{0A28737B-DE4B-419B-8496-4B2E9F934559}" srcOrd="2" destOrd="0" parTransId="{64A2EE56-1639-4910-8635-A69E43EFE6A2}" sibTransId="{9828B3AF-52AF-43A0-B2C0-AFE1B957B0E3}"/>
    <dgm:cxn modelId="{0C37799F-B62A-4EC9-B12E-C326F1788BDC}" srcId="{89765614-4658-496A-9278-209F2203F336}" destId="{EC562B48-4214-4B80-AD02-27C9D4026824}" srcOrd="0" destOrd="0" parTransId="{A133ECE3-27F2-4B80-96B8-F946A85B1BB2}" sibTransId="{06B461E6-B10A-48FF-A0A2-76D7BAFDE8EB}"/>
    <dgm:cxn modelId="{DE3D79B0-6D34-4C20-A84D-255FCD687C64}" srcId="{0B57E9D5-FFF4-4551-B37B-B2DB5A0E8BA2}" destId="{E15F5E56-BE9D-4165-B079-E1CA6289B5F2}" srcOrd="1" destOrd="0" parTransId="{7D046855-818A-4718-BD19-9EAEA5F2A0B3}" sibTransId="{6150A4A5-B617-44C4-AE75-D762E9C8F15B}"/>
    <dgm:cxn modelId="{A8C91DAB-E8ED-4928-88FD-6738337E6DCD}" srcId="{488A65F7-A63B-460D-B4EF-9C5BBC63D89C}" destId="{E1228830-4CC4-42F2-A1CE-B96AD320D737}" srcOrd="4" destOrd="0" parTransId="{3AEA0064-301E-4DEB-AE98-F11FEF31721B}" sibTransId="{A8723FAB-815C-46D0-B1AC-C1187AA1AB92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88B1440-22C6-4868-BC05-7E46FC35D5BF}" type="presOf" srcId="{C15CA8C2-1FF6-42C5-AD8F-090072D51175}" destId="{3254FC70-3A29-42BE-B134-91D011129504}" srcOrd="0" destOrd="1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788A380-30C5-4A34-8923-C1C1A2152B1D}" srcId="{89765614-4658-496A-9278-209F2203F336}" destId="{19B1611F-9EE4-4FEF-A626-BCFDB3CD5459}" srcOrd="1" destOrd="0" parTransId="{6081589E-4291-4D0B-8AD2-AE57F3AD25BA}" sibTransId="{C737623B-E9F4-4308-A0A4-E21E975B0FE1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FE2D9E36-693A-4304-8175-896DF8D658F5}" type="presOf" srcId="{E1228830-4CC4-42F2-A1CE-B96AD320D737}" destId="{0CDAF93C-BBF6-45D3-8D8F-5DFBD00EB9E0}" srcOrd="0" destOrd="4" presId="urn:microsoft.com/office/officeart/2005/8/layout/chevron2"/>
    <dgm:cxn modelId="{DEAD6781-1E85-451E-B254-EC382A22F881}" type="presOf" srcId="{0B57E9D5-FFF4-4551-B37B-B2DB5A0E8BA2}" destId="{1EF62C01-0156-4468-BC5B-2900BBD37D44}" srcOrd="0" destOrd="0" presId="urn:microsoft.com/office/officeart/2005/8/layout/chevron2"/>
    <dgm:cxn modelId="{5627E984-433B-42B5-A419-3AECBDDE220D}" srcId="{0B57E9D5-FFF4-4551-B37B-B2DB5A0E8BA2}" destId="{ADAD486B-CE2A-4C46-A3F5-1E590E2E08B6}" srcOrd="0" destOrd="0" parTransId="{60B65BD0-0502-4997-83D6-E244E905371C}" sibTransId="{EC2715A8-FDD2-48B4-9A46-467A7CB07AC8}"/>
    <dgm:cxn modelId="{4E4422C4-9B74-41F5-8C40-C9016E5A2D9D}" type="presOf" srcId="{19B1611F-9EE4-4FEF-A626-BCFDB3CD5459}" destId="{6FC5D01E-A6F5-429A-A224-7D89ADC33467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15 mins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Election of Committee Leadership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Economic Vitality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Nursing Department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Accreditation Reminder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Budget Update and Faculty Shortage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1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Improve Student Preparedness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Curriculum Revision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No NAC Certification Required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Adjustments to first quarter curriculum and first year skills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60 mins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Program Outcomes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Strategic Planning/Visioning Exercise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Align with Workforce and Community Needs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15 mins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Themes, trends or updates from partners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2018-10-12T22:30:00Z</cp:lastPrinted>
  <dcterms:created xsi:type="dcterms:W3CDTF">2018-10-10T20:42:00Z</dcterms:created>
  <dcterms:modified xsi:type="dcterms:W3CDTF">2018-10-12T22:31:00Z</dcterms:modified>
</cp:coreProperties>
</file>