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43D77" w:rsidRPr="00243D77">
                              <w:rPr>
                                <w:b/>
                                <w:color w:val="002060"/>
                                <w:sz w:val="24"/>
                              </w:rPr>
                              <w:t>Medical Assistant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43D77" w:rsidRPr="00243D77">
                              <w:rPr>
                                <w:b/>
                                <w:color w:val="002060"/>
                                <w:sz w:val="24"/>
                              </w:rPr>
                              <w:t>Tuesday, March 12,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43D77" w:rsidRPr="00243D77">
                              <w:rPr>
                                <w:b/>
                                <w:color w:val="002060"/>
                                <w:sz w:val="24"/>
                              </w:rPr>
                              <w:t>5:30-7:30pm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43D77" w:rsidRPr="00243D77">
                              <w:rPr>
                                <w:b/>
                                <w:color w:val="002060"/>
                                <w:sz w:val="24"/>
                              </w:rPr>
                              <w:t>PUB 258B</w:t>
                            </w:r>
                            <w:r w:rsidR="00243D7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43D77" w:rsidRPr="00243D77">
                        <w:rPr>
                          <w:b/>
                          <w:color w:val="002060"/>
                          <w:sz w:val="24"/>
                        </w:rPr>
                        <w:t>Medical Assistant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43D77" w:rsidRPr="00243D77">
                        <w:rPr>
                          <w:b/>
                          <w:color w:val="002060"/>
                          <w:sz w:val="24"/>
                        </w:rPr>
                        <w:t>Tuesday, March 12,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43D77" w:rsidRPr="00243D77">
                        <w:rPr>
                          <w:b/>
                          <w:color w:val="002060"/>
                          <w:sz w:val="24"/>
                        </w:rPr>
                        <w:t>5:30-7:30pm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43D77" w:rsidRPr="00243D77">
                        <w:rPr>
                          <w:b/>
                          <w:color w:val="002060"/>
                          <w:sz w:val="24"/>
                        </w:rPr>
                        <w:t>PUB 258B</w:t>
                      </w:r>
                      <w:r w:rsidR="00243D7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56070E"/>
    <w:rsid w:val="00643CCF"/>
    <w:rsid w:val="00692D39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9AC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Program Goals and Learning Objectives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Goals and Learning Objectives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Annual Report and Outcomes (graduate and employer surveys, resource assessment, thresholds)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800" b="1"/>
            <a:t>Reviews and 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800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800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Changes (course, practicum, curriculum changes - content, sequencing, minimums and competencies)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Other Business/Industry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D0C7EED3-3C29-4593-BEE9-D1DA03E32CBF}">
      <dgm:prSet phldrT="[Text]" custT="1"/>
      <dgm:spPr/>
      <dgm:t>
        <a:bodyPr/>
        <a:lstStyle/>
        <a:p>
          <a:r>
            <a:rPr lang="en-US" sz="800" b="0" i="0"/>
            <a:t>Sharing news and knowledge</a:t>
          </a:r>
        </a:p>
      </dgm:t>
    </dgm:pt>
    <dgm:pt modelId="{E8336696-6581-4A68-A721-5EFB0F0AA4E6}" type="parTrans" cxnId="{6463588F-3D5A-4AF3-B413-CF25DCE0BF53}">
      <dgm:prSet/>
      <dgm:spPr/>
      <dgm:t>
        <a:bodyPr/>
        <a:lstStyle/>
        <a:p>
          <a:endParaRPr lang="en-US"/>
        </a:p>
      </dgm:t>
    </dgm:pt>
    <dgm:pt modelId="{5C7042A9-B3CF-428A-9074-6E039AF059CE}" type="sibTrans" cxnId="{6463588F-3D5A-4AF3-B413-CF25DCE0BF53}">
      <dgm:prSet/>
      <dgm:spPr/>
      <dgm:t>
        <a:bodyPr/>
        <a:lstStyle/>
        <a:p>
          <a:endParaRPr lang="en-US"/>
        </a:p>
      </dgm:t>
    </dgm:pt>
    <dgm:pt modelId="{BC6FCB3C-2023-49EB-867C-F7277210D77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Other Assessment Results (student, faculty, program, and other)</a:t>
          </a:r>
        </a:p>
      </dgm:t>
    </dgm:pt>
    <dgm:pt modelId="{053227A3-C7B4-48DB-941A-84326849A3F5}" type="parTrans" cxnId="{97C3B782-465E-4A1E-9AC2-040EE9D3A9AD}">
      <dgm:prSet/>
      <dgm:spPr/>
      <dgm:t>
        <a:bodyPr/>
        <a:lstStyle/>
        <a:p>
          <a:endParaRPr lang="en-US"/>
        </a:p>
      </dgm:t>
    </dgm:pt>
    <dgm:pt modelId="{5F2DE83D-408C-490B-9B85-C8B3ED85A737}" type="sibTrans" cxnId="{97C3B782-465E-4A1E-9AC2-040EE9D3A9AD}">
      <dgm:prSet/>
      <dgm:spPr/>
      <dgm:t>
        <a:bodyPr/>
        <a:lstStyle/>
        <a:p>
          <a:endParaRPr lang="en-US"/>
        </a:p>
      </dgm:t>
    </dgm:pt>
    <dgm:pt modelId="{41771E82-1812-4992-BE1F-6398E646AF98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Substantive Changes (program status, sponsorship, sponsor administrator personnel, program personnel, change in instruction modality, additional campuses, instructional sites, practicum sites) </a:t>
          </a:r>
        </a:p>
      </dgm:t>
    </dgm:pt>
    <dgm:pt modelId="{77F2F009-8BF9-4959-8F7D-3FAE8F764EDD}" type="parTrans" cxnId="{FAD0A555-6200-4D87-A372-E9B6D89CBAC1}">
      <dgm:prSet/>
      <dgm:spPr/>
      <dgm:t>
        <a:bodyPr/>
        <a:lstStyle/>
        <a:p>
          <a:endParaRPr lang="en-US"/>
        </a:p>
      </dgm:t>
    </dgm:pt>
    <dgm:pt modelId="{2D927503-19D5-4BF6-A85F-D1295B869F18}" type="sibTrans" cxnId="{FAD0A555-6200-4D87-A372-E9B6D89CBAC1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C91CE54B-D838-462F-B440-D4D3875D77FD}" type="presOf" srcId="{BC6FCB3C-2023-49EB-867C-F7277210D77E}" destId="{6FC5D01E-A6F5-429A-A224-7D89ADC33467}" srcOrd="0" destOrd="1" presId="urn:microsoft.com/office/officeart/2005/8/layout/chevron2"/>
    <dgm:cxn modelId="{132F0074-3DEA-4A40-83C1-56F1AFE168F4}" type="presOf" srcId="{D0C7EED3-3C29-4593-BEE9-D1DA03E32CBF}" destId="{0CDAF93C-BBF6-45D3-8D8F-5DFBD00EB9E0}" srcOrd="0" destOrd="4" presId="urn:microsoft.com/office/officeart/2005/8/layout/chevron2"/>
    <dgm:cxn modelId="{FAD0A555-6200-4D87-A372-E9B6D89CBAC1}" srcId="{72E55F10-22BC-402D-96DD-D99F1909E38E}" destId="{41771E82-1812-4992-BE1F-6398E646AF98}" srcOrd="1" destOrd="0" parTransId="{77F2F009-8BF9-4959-8F7D-3FAE8F764EDD}" sibTransId="{2D927503-19D5-4BF6-A85F-D1295B869F18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6463588F-3D5A-4AF3-B413-CF25DCE0BF53}" srcId="{EA83349B-C85D-4579-A46E-285CE155C5B5}" destId="{D0C7EED3-3C29-4593-BEE9-D1DA03E32CBF}" srcOrd="0" destOrd="0" parTransId="{E8336696-6581-4A68-A721-5EFB0F0AA4E6}" sibTransId="{5C7042A9-B3CF-428A-9074-6E039AF059CE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97C3B782-465E-4A1E-9AC2-040EE9D3A9AD}" srcId="{591F15E3-932E-4B4C-9E30-D153813EC974}" destId="{BC6FCB3C-2023-49EB-867C-F7277210D77E}" srcOrd="1" destOrd="0" parTransId="{053227A3-C7B4-48DB-941A-84326849A3F5}" sibTransId="{5F2DE83D-408C-490B-9B85-C8B3ED85A73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616C219C-62FB-4148-BB57-57C6E1DA1BB7}" type="presOf" srcId="{41771E82-1812-4992-BE1F-6398E646AF98}" destId="{3254FC70-3A29-42BE-B134-91D01112950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Reviews and 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Announcements from the college or departments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i="0" kern="1200"/>
            <a:t>Sharing news and knowledge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 Goals and Learning Objectives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Goals and Learning Objectives 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Annual Report and Outcomes (graduate and employer surveys, resource assessment, thresholds)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Other Assessment Results (student, faculty, program, and other)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Changes (course, practicum, curriculum changes - content, sequencing, minimums and competencies)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Substantive Changes (program status, sponsorship, sponsor administrator personnel, program personnel, change in instruction modality, additional campuses, instructional sites, practicum sites) 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Other Business/Industry Updates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2019-03-12T22:59:00Z</dcterms:created>
  <dcterms:modified xsi:type="dcterms:W3CDTF">2019-03-12T22:59:00Z</dcterms:modified>
</cp:coreProperties>
</file>